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18CA" w14:textId="78EF0B65" w:rsidR="006E50DB" w:rsidRDefault="006E50DB">
      <w:pPr>
        <w:pStyle w:val="Paragraph"/>
        <w:spacing w:before="0" w:after="0" w:line="240" w:lineRule="auto"/>
        <w:rPr>
          <w:lang w:val="en-GB"/>
        </w:rPr>
      </w:pPr>
    </w:p>
    <w:p w14:paraId="0828A64C" w14:textId="08E3786C" w:rsidR="006E50DB" w:rsidRDefault="00314DAA" w:rsidP="00314DAA">
      <w:pPr>
        <w:tabs>
          <w:tab w:val="left" w:pos="2038"/>
        </w:tabs>
      </w:pPr>
      <w:r>
        <w:tab/>
      </w:r>
    </w:p>
    <w:p w14:paraId="1A806BD5" w14:textId="10E18D00" w:rsidR="006E50DB" w:rsidRDefault="006E50DB"/>
    <w:p w14:paraId="4BB58306" w14:textId="0B267706" w:rsidR="006E50DB" w:rsidRDefault="006E50DB"/>
    <w:p w14:paraId="0D70634F" w14:textId="11FA6E87" w:rsidR="00314DAA" w:rsidRDefault="00314DAA"/>
    <w:p w14:paraId="2B9E9748" w14:textId="77777777" w:rsidR="00314DAA" w:rsidRDefault="00314DAA"/>
    <w:p w14:paraId="7E1E66DD" w14:textId="77777777" w:rsidR="00314DAA" w:rsidRDefault="00314DAA"/>
    <w:p w14:paraId="6F5D37F3" w14:textId="77777777" w:rsidR="00314DAA" w:rsidRDefault="00314DAA"/>
    <w:p w14:paraId="6638554B" w14:textId="77777777" w:rsidR="00314DAA" w:rsidRDefault="00314DAA"/>
    <w:p w14:paraId="1A2D0D5E" w14:textId="77777777" w:rsidR="00314DAA" w:rsidRDefault="00314DAA"/>
    <w:p w14:paraId="4D6690EF" w14:textId="77777777" w:rsidR="00314DAA" w:rsidRDefault="00314DAA"/>
    <w:p w14:paraId="72D30D18" w14:textId="77777777" w:rsidR="00314DAA" w:rsidRDefault="00314DAA"/>
    <w:p w14:paraId="25AA3D9E" w14:textId="77777777" w:rsidR="006E50DB" w:rsidRDefault="006E50DB"/>
    <w:p w14:paraId="0F0A9F75" w14:textId="77777777" w:rsidR="006E50DB" w:rsidRDefault="00922B0D">
      <w:pPr>
        <w:rPr>
          <w:sz w:val="16"/>
        </w:rPr>
      </w:pPr>
      <w:r>
        <w:rPr>
          <w:b/>
          <w:sz w:val="40"/>
        </w:rPr>
        <w:t>Information Security Policy</w:t>
      </w:r>
    </w:p>
    <w:p w14:paraId="259402CE" w14:textId="77777777" w:rsidR="006E50DB" w:rsidRDefault="00922B0D">
      <w:pPr>
        <w:rPr>
          <w:b/>
          <w:sz w:val="30"/>
        </w:rPr>
      </w:pPr>
      <w:r>
        <w:rPr>
          <w:b/>
          <w:sz w:val="30"/>
        </w:rPr>
        <w:t>Doc A5</w:t>
      </w:r>
    </w:p>
    <w:p w14:paraId="3A3C4E43" w14:textId="77777777" w:rsidR="006E50DB" w:rsidRDefault="006E50DB"/>
    <w:p w14:paraId="3693275F" w14:textId="77777777" w:rsidR="006E50DB" w:rsidRDefault="006E50DB"/>
    <w:p w14:paraId="10A95E70" w14:textId="7BE58814" w:rsidR="006E50DB" w:rsidRDefault="006E50DB"/>
    <w:p w14:paraId="2FA2551D" w14:textId="77777777" w:rsidR="008B6A52" w:rsidRDefault="008B6A52"/>
    <w:p w14:paraId="4C98AB9B" w14:textId="77777777" w:rsidR="006E50DB" w:rsidRDefault="006E50DB"/>
    <w:p w14:paraId="17FC26A3" w14:textId="77777777" w:rsidR="006E50DB" w:rsidRDefault="006E50DB"/>
    <w:p w14:paraId="3F630013" w14:textId="77777777" w:rsidR="006E50DB" w:rsidRDefault="006E50DB"/>
    <w:p w14:paraId="5406AFF8" w14:textId="77777777" w:rsidR="006E50DB" w:rsidRDefault="006E50DB"/>
    <w:p w14:paraId="1F99997C" w14:textId="77777777" w:rsidR="006E50DB" w:rsidRDefault="006E50DB"/>
    <w:p w14:paraId="62A1DC19" w14:textId="77777777" w:rsidR="006E50DB" w:rsidRDefault="006E50DB"/>
    <w:p w14:paraId="768591CE" w14:textId="77777777" w:rsidR="006E50DB" w:rsidRDefault="006E50DB"/>
    <w:p w14:paraId="7D378D29" w14:textId="77777777" w:rsidR="006E50DB" w:rsidRDefault="006E50DB"/>
    <w:p w14:paraId="572F4B83" w14:textId="77777777" w:rsidR="006E50DB" w:rsidRDefault="006E50DB"/>
    <w:p w14:paraId="4C70D6E7" w14:textId="77777777" w:rsidR="006E50DB" w:rsidRDefault="006E50DB"/>
    <w:p w14:paraId="1FF12E7E" w14:textId="77777777" w:rsidR="006E50DB" w:rsidRDefault="006E50DB"/>
    <w:p w14:paraId="777E5651" w14:textId="77777777" w:rsidR="008B6A52" w:rsidRDefault="008B6A52" w:rsidP="008B6A52">
      <w:pPr>
        <w:spacing w:after="120"/>
        <w:rPr>
          <w:b/>
          <w:sz w:val="30"/>
        </w:rPr>
      </w:pPr>
      <w:bookmarkStart w:id="0" w:name="_Toc466875047"/>
      <w:r>
        <w:rPr>
          <w:b/>
          <w:sz w:val="30"/>
        </w:rPr>
        <w:t>Version:</w:t>
      </w:r>
      <w:r>
        <w:rPr>
          <w:b/>
          <w:sz w:val="30"/>
        </w:rPr>
        <w:tab/>
      </w:r>
      <w:r>
        <w:rPr>
          <w:b/>
          <w:sz w:val="30"/>
        </w:rPr>
        <w:tab/>
      </w:r>
      <w:bookmarkEnd w:id="0"/>
      <w:r>
        <w:rPr>
          <w:b/>
          <w:sz w:val="30"/>
        </w:rPr>
        <w:tab/>
        <w:t>1.0</w:t>
      </w:r>
    </w:p>
    <w:p w14:paraId="44C25318" w14:textId="77777777" w:rsidR="008B6A52" w:rsidRDefault="008B6A52" w:rsidP="008B6A52">
      <w:pPr>
        <w:spacing w:after="120"/>
        <w:rPr>
          <w:sz w:val="28"/>
        </w:rPr>
      </w:pPr>
    </w:p>
    <w:p w14:paraId="6DFA8852" w14:textId="77777777" w:rsidR="008B6A52" w:rsidRDefault="008B6A52" w:rsidP="008B6A52">
      <w:pPr>
        <w:spacing w:after="120"/>
        <w:rPr>
          <w:sz w:val="28"/>
        </w:rPr>
      </w:pPr>
      <w:r>
        <w:rPr>
          <w:sz w:val="28"/>
        </w:rPr>
        <w:t>Publication Date:</w:t>
      </w:r>
      <w:r>
        <w:rPr>
          <w:sz w:val="28"/>
        </w:rPr>
        <w:tab/>
      </w:r>
      <w:r>
        <w:rPr>
          <w:sz w:val="28"/>
        </w:rPr>
        <w:tab/>
        <w:t>January 01, 2019</w:t>
      </w:r>
    </w:p>
    <w:p w14:paraId="3F4CB25E" w14:textId="77777777" w:rsidR="008B6A52" w:rsidRDefault="008B6A52" w:rsidP="008B6A52">
      <w:pPr>
        <w:spacing w:after="120"/>
        <w:rPr>
          <w:sz w:val="28"/>
        </w:rPr>
      </w:pPr>
      <w:r>
        <w:rPr>
          <w:sz w:val="28"/>
        </w:rPr>
        <w:t>Current Status:</w:t>
      </w:r>
      <w:r>
        <w:rPr>
          <w:sz w:val="28"/>
        </w:rPr>
        <w:tab/>
      </w:r>
      <w:r>
        <w:rPr>
          <w:sz w:val="28"/>
        </w:rPr>
        <w:tab/>
        <w:t>Published</w:t>
      </w:r>
    </w:p>
    <w:p w14:paraId="7C638E4C" w14:textId="77777777" w:rsidR="008B6A52" w:rsidRDefault="008B6A52" w:rsidP="008B6A52">
      <w:pPr>
        <w:spacing w:after="120"/>
        <w:rPr>
          <w:sz w:val="28"/>
        </w:rPr>
      </w:pPr>
      <w:r>
        <w:rPr>
          <w:sz w:val="28"/>
        </w:rPr>
        <w:t>Author(s):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Michael Woolard</w:t>
      </w:r>
    </w:p>
    <w:p w14:paraId="1256E4C3" w14:textId="77777777" w:rsidR="008B6A52" w:rsidRPr="001A41C1" w:rsidRDefault="008B6A52" w:rsidP="008B6A52">
      <w:pPr>
        <w:ind w:left="2880" w:hanging="2880"/>
        <w:rPr>
          <w:sz w:val="28"/>
        </w:rPr>
      </w:pPr>
      <w:r>
        <w:rPr>
          <w:sz w:val="28"/>
        </w:rPr>
        <w:t>Last Reviewed:</w:t>
      </w:r>
      <w:r>
        <w:rPr>
          <w:sz w:val="28"/>
        </w:rPr>
        <w:tab/>
        <w:t>Michael Woolard</w:t>
      </w:r>
    </w:p>
    <w:p w14:paraId="676D15A4" w14:textId="77777777" w:rsidR="00E97FCE" w:rsidRPr="00271468" w:rsidRDefault="00E97FCE" w:rsidP="00E97FCE">
      <w:pPr>
        <w:spacing w:after="120"/>
      </w:pPr>
    </w:p>
    <w:p w14:paraId="5EE41D1A" w14:textId="77777777" w:rsidR="00821828" w:rsidRDefault="00821828"/>
    <w:p w14:paraId="703D5731" w14:textId="77777777" w:rsidR="00821828" w:rsidRDefault="00821828"/>
    <w:p w14:paraId="7C46F074" w14:textId="77777777" w:rsidR="00821828" w:rsidRDefault="00821828"/>
    <w:p w14:paraId="48838382" w14:textId="77777777" w:rsidR="00821828" w:rsidRDefault="00821828"/>
    <w:p w14:paraId="7858E552" w14:textId="77777777" w:rsidR="00821828" w:rsidRDefault="00821828"/>
    <w:p w14:paraId="0562657E" w14:textId="77777777" w:rsidR="00821828" w:rsidRDefault="00821828"/>
    <w:p w14:paraId="2ADC3910" w14:textId="77777777" w:rsidR="00821828" w:rsidRDefault="00821828"/>
    <w:p w14:paraId="5D85EDAF" w14:textId="77777777" w:rsidR="00314DAA" w:rsidRDefault="00314DAA"/>
    <w:p w14:paraId="75FC285D" w14:textId="77777777" w:rsidR="00821828" w:rsidRDefault="00821828"/>
    <w:p w14:paraId="65A57729" w14:textId="05951503" w:rsidR="00821828" w:rsidRDefault="00821828"/>
    <w:p w14:paraId="4353B62F" w14:textId="77777777" w:rsidR="00DF7E8A" w:rsidRDefault="00DF7E8A">
      <w:bookmarkStart w:id="1" w:name="_GoBack"/>
      <w:bookmarkEnd w:id="1"/>
    </w:p>
    <w:p w14:paraId="17D95802" w14:textId="77777777" w:rsidR="00821828" w:rsidRDefault="00821828"/>
    <w:p w14:paraId="0811FEBA" w14:textId="77777777" w:rsidR="00922B0D" w:rsidRPr="00FE098C" w:rsidRDefault="00922B0D" w:rsidP="00314DAA">
      <w:pPr>
        <w:pStyle w:val="Heading1"/>
        <w:numPr>
          <w:ilvl w:val="0"/>
          <w:numId w:val="0"/>
        </w:numPr>
        <w:ind w:left="432" w:hanging="432"/>
      </w:pPr>
      <w:bookmarkStart w:id="2" w:name="_Toc404262618"/>
      <w:bookmarkStart w:id="3" w:name="_Toc404262720"/>
      <w:bookmarkStart w:id="4" w:name="_Toc404262815"/>
      <w:bookmarkStart w:id="5" w:name="_Toc404262939"/>
      <w:bookmarkStart w:id="6" w:name="_Toc404263201"/>
      <w:bookmarkStart w:id="7" w:name="_Toc412793988"/>
      <w:bookmarkStart w:id="8" w:name="_Toc415562364"/>
      <w:bookmarkStart w:id="9" w:name="_Toc427135125"/>
      <w:r w:rsidRPr="00FE098C">
        <w:lastRenderedPageBreak/>
        <w:t>Overview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565C950" w14:textId="5BB39D28" w:rsidR="00922B0D" w:rsidRPr="00FE098C" w:rsidRDefault="00922B0D" w:rsidP="00C538A6">
      <w:bookmarkStart w:id="10" w:name="_Toc404262619"/>
      <w:bookmarkStart w:id="11" w:name="_Toc412793989"/>
      <w:r w:rsidRPr="00FE098C">
        <w:t xml:space="preserve">The Board and Management of </w:t>
      </w:r>
      <w:r w:rsidR="008B6A52">
        <w:t>Wacky Widget</w:t>
      </w:r>
      <w:r w:rsidRPr="00FE098C">
        <w:t xml:space="preserve"> Ltd, located </w:t>
      </w:r>
      <w:r w:rsidR="008B6A52">
        <w:t>123 Main Street</w:t>
      </w:r>
      <w:r w:rsidR="00271468" w:rsidRPr="00FE098C">
        <w:t xml:space="preserve">, </w:t>
      </w:r>
      <w:proofErr w:type="spellStart"/>
      <w:r w:rsidR="008B6A52">
        <w:t>AnyState</w:t>
      </w:r>
      <w:proofErr w:type="spellEnd"/>
      <w:r w:rsidR="008B6A52">
        <w:t>, Any Country</w:t>
      </w:r>
      <w:r w:rsidRPr="00FE098C">
        <w:t>, are committed to preserving the confidentiality, integrity and availability of all the physical and electronic information</w:t>
      </w:r>
      <w:r w:rsidR="00271468" w:rsidRPr="00FE098C">
        <w:t xml:space="preserve"> assets throughout their organiz</w:t>
      </w:r>
      <w:r w:rsidRPr="00FE098C">
        <w:t>ation.</w:t>
      </w:r>
      <w:bookmarkEnd w:id="10"/>
      <w:bookmarkEnd w:id="11"/>
    </w:p>
    <w:p w14:paraId="1CE8CE31" w14:textId="77777777" w:rsidR="00C538A6" w:rsidRPr="00FE098C" w:rsidRDefault="00C538A6" w:rsidP="00C538A6"/>
    <w:p w14:paraId="2A3AF642" w14:textId="10E919E2" w:rsidR="00922B0D" w:rsidRDefault="00922B0D" w:rsidP="00C538A6">
      <w:bookmarkStart w:id="12" w:name="_Toc404262620"/>
      <w:bookmarkStart w:id="13" w:name="_Toc412793990"/>
      <w:r w:rsidRPr="00FE098C">
        <w:t>Information and information security requirements will continue to be alig</w:t>
      </w:r>
      <w:r w:rsidR="00271468" w:rsidRPr="00FE098C">
        <w:t xml:space="preserve">ned with </w:t>
      </w:r>
      <w:r w:rsidR="008B6A52">
        <w:t>Wacky Widget</w:t>
      </w:r>
      <w:r w:rsidRPr="00FE098C">
        <w:t xml:space="preserve">’s goals and strategic objectives. </w:t>
      </w:r>
      <w:r w:rsidR="008B6A52">
        <w:t>Wacky Widget</w:t>
      </w:r>
      <w:r w:rsidR="008B6A52" w:rsidRPr="00FE098C">
        <w:t xml:space="preserve"> </w:t>
      </w:r>
      <w:r w:rsidRPr="00FE098C">
        <w:t xml:space="preserve">is committed to implementing a Secure Operating Framework structured and conformant with the internationally </w:t>
      </w:r>
      <w:r w:rsidR="00271468" w:rsidRPr="00FE098C">
        <w:t>recognized</w:t>
      </w:r>
      <w:r w:rsidRPr="00FE098C">
        <w:t xml:space="preserve"> standard for an Information Security Management System (ISMS) ISO/IEC 27001:2013.</w:t>
      </w:r>
      <w:bookmarkEnd w:id="12"/>
      <w:bookmarkEnd w:id="13"/>
    </w:p>
    <w:p w14:paraId="33060E41" w14:textId="77777777" w:rsidR="001D33E2" w:rsidRDefault="001D33E2" w:rsidP="00C538A6"/>
    <w:p w14:paraId="0A5DAA02" w14:textId="05BA1FBD" w:rsidR="001D33E2" w:rsidRPr="00421236" w:rsidRDefault="001D33E2" w:rsidP="001D33E2">
      <w:bookmarkStart w:id="14" w:name="_Toc404262640"/>
      <w:bookmarkStart w:id="15" w:name="_Toc412794010"/>
      <w:r w:rsidRPr="00421236">
        <w:t>Where security management controls are required over and above the ISMS baseline</w:t>
      </w:r>
      <w:r>
        <w:t>,</w:t>
      </w:r>
      <w:r w:rsidRPr="00421236">
        <w:t xml:space="preserve"> the policy of the company is to review the risks which will inform </w:t>
      </w:r>
      <w:r w:rsidR="008B6A52">
        <w:t xml:space="preserve">Wacky Widget </w:t>
      </w:r>
      <w:r>
        <w:t xml:space="preserve">of </w:t>
      </w:r>
      <w:r w:rsidRPr="00421236">
        <w:t xml:space="preserve">any improvement </w:t>
      </w:r>
      <w:r>
        <w:t>potential to the ISMS</w:t>
      </w:r>
      <w:r w:rsidRPr="00421236">
        <w:t>.</w:t>
      </w:r>
      <w:bookmarkEnd w:id="14"/>
      <w:bookmarkEnd w:id="15"/>
    </w:p>
    <w:p w14:paraId="464FD2C3" w14:textId="77777777" w:rsidR="00C538A6" w:rsidRDefault="00C538A6" w:rsidP="00C538A6">
      <w:bookmarkStart w:id="16" w:name="_Toc404262621"/>
      <w:bookmarkStart w:id="17" w:name="_Toc412793991"/>
    </w:p>
    <w:p w14:paraId="7F5559FA" w14:textId="77777777" w:rsidR="001D33E2" w:rsidRPr="00FE098C" w:rsidRDefault="001D33E2" w:rsidP="00C538A6"/>
    <w:p w14:paraId="0869D58B" w14:textId="595445D0" w:rsidR="00922B0D" w:rsidRPr="00FE098C" w:rsidRDefault="00577ED3" w:rsidP="00FE098C">
      <w:pPr>
        <w:pStyle w:val="Heading1"/>
        <w:numPr>
          <w:ilvl w:val="0"/>
          <w:numId w:val="0"/>
        </w:numPr>
      </w:pPr>
      <w:bookmarkStart w:id="18" w:name="_Toc404262641"/>
      <w:bookmarkStart w:id="19" w:name="_Toc404262818"/>
      <w:bookmarkStart w:id="20" w:name="_Toc404262942"/>
      <w:bookmarkStart w:id="21" w:name="_Toc404263204"/>
      <w:bookmarkStart w:id="22" w:name="_Toc412794011"/>
      <w:bookmarkStart w:id="23" w:name="_Toc415562367"/>
      <w:bookmarkStart w:id="24" w:name="_Toc427135128"/>
      <w:bookmarkEnd w:id="16"/>
      <w:bookmarkEnd w:id="17"/>
      <w:r>
        <w:t xml:space="preserve">Strategic </w:t>
      </w:r>
      <w:r w:rsidR="00922B0D" w:rsidRPr="00FE098C">
        <w:t>Objectives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5F31E393" w14:textId="16A74A96" w:rsidR="00922B0D" w:rsidRPr="00FE098C" w:rsidRDefault="00922B0D" w:rsidP="00A968E7">
      <w:bookmarkStart w:id="25" w:name="_Toc404262642"/>
      <w:bookmarkStart w:id="26" w:name="_Toc412794012"/>
      <w:r w:rsidRPr="00FE098C">
        <w:t xml:space="preserve">The objective of information security is to ensure the business continuity of </w:t>
      </w:r>
      <w:r w:rsidR="008B6A52">
        <w:t>Wacky Widget</w:t>
      </w:r>
      <w:r w:rsidR="008B6A52" w:rsidRPr="00FE098C">
        <w:t xml:space="preserve"> </w:t>
      </w:r>
      <w:r w:rsidRPr="00FE098C">
        <w:t xml:space="preserve">and to </w:t>
      </w:r>
      <w:r w:rsidR="00271468" w:rsidRPr="00FE098C">
        <w:t>minimize</w:t>
      </w:r>
      <w:r w:rsidRPr="00FE098C">
        <w:t xml:space="preserve"> the risk of damage by preventing security incidents and reducing their potential impact.</w:t>
      </w:r>
      <w:bookmarkEnd w:id="25"/>
      <w:bookmarkEnd w:id="26"/>
    </w:p>
    <w:p w14:paraId="17F47371" w14:textId="77777777" w:rsidR="00A968E7" w:rsidRPr="00FE098C" w:rsidRDefault="00A968E7" w:rsidP="00A968E7"/>
    <w:p w14:paraId="17FD8541" w14:textId="2947531B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 xml:space="preserve">Safeguard and protect </w:t>
      </w:r>
      <w:r w:rsidR="008B6A52">
        <w:t>Wacky Widget</w:t>
      </w:r>
      <w:r w:rsidRPr="00FE098C">
        <w:rPr>
          <w:rFonts w:ascii="Arial" w:hAnsi="Arial" w:cs="Arial"/>
          <w:sz w:val="20"/>
        </w:rPr>
        <w:t>’s customer information and commercially sensitive</w:t>
      </w:r>
      <w:r w:rsidR="00E4019F" w:rsidRPr="00FE098C">
        <w:rPr>
          <w:rFonts w:ascii="Arial" w:hAnsi="Arial" w:cs="Arial"/>
          <w:sz w:val="20"/>
        </w:rPr>
        <w:t xml:space="preserve"> information</w:t>
      </w:r>
      <w:r w:rsidRPr="00FE098C">
        <w:rPr>
          <w:rFonts w:ascii="Arial" w:hAnsi="Arial" w:cs="Arial"/>
          <w:sz w:val="20"/>
        </w:rPr>
        <w:t xml:space="preserve">, </w:t>
      </w:r>
      <w:r w:rsidR="00E4019F" w:rsidRPr="00FE098C">
        <w:rPr>
          <w:rFonts w:ascii="Arial" w:hAnsi="Arial" w:cs="Arial"/>
          <w:sz w:val="20"/>
        </w:rPr>
        <w:t xml:space="preserve">within its custody, </w:t>
      </w:r>
      <w:r w:rsidRPr="00FE098C">
        <w:rPr>
          <w:rFonts w:ascii="Arial" w:hAnsi="Arial" w:cs="Arial"/>
          <w:sz w:val="20"/>
        </w:rPr>
        <w:t>ensuring the preservation of the confidentiality, integrity and availability of the data;</w:t>
      </w:r>
    </w:p>
    <w:p w14:paraId="73EDC1DD" w14:textId="6C9FFB3D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 xml:space="preserve">Establish safeguards to protect </w:t>
      </w:r>
      <w:r w:rsidR="008B6A52">
        <w:t>Wacky Widget</w:t>
      </w:r>
      <w:r w:rsidRPr="00FE098C">
        <w:rPr>
          <w:rFonts w:ascii="Arial" w:hAnsi="Arial" w:cs="Arial"/>
          <w:sz w:val="20"/>
        </w:rPr>
        <w:t>’s information resources from theft, abuse, misuse or any form of damage;</w:t>
      </w:r>
    </w:p>
    <w:p w14:paraId="03331E6B" w14:textId="640783F2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 xml:space="preserve">Establish responsibility and accountability for information security across </w:t>
      </w:r>
      <w:r w:rsidR="008B6A52">
        <w:t>Wacky Widget</w:t>
      </w:r>
      <w:r w:rsidRPr="00FE098C">
        <w:rPr>
          <w:rFonts w:ascii="Arial" w:hAnsi="Arial" w:cs="Arial"/>
          <w:sz w:val="20"/>
        </w:rPr>
        <w:t>;</w:t>
      </w:r>
    </w:p>
    <w:p w14:paraId="5B22AE56" w14:textId="7B7647EC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 xml:space="preserve">Encourage </w:t>
      </w:r>
      <w:r w:rsidR="008B6A52">
        <w:t>Wacky Widget</w:t>
      </w:r>
      <w:r w:rsidRPr="00FE098C">
        <w:rPr>
          <w:rFonts w:ascii="Arial" w:hAnsi="Arial" w:cs="Arial"/>
          <w:sz w:val="20"/>
        </w:rPr>
        <w:t>’s management and staff to maintain an appropriate level of awareness, knowledge and skill to allow them to minimise the occurrence and severity of security incidents;</w:t>
      </w:r>
    </w:p>
    <w:p w14:paraId="5C86ED50" w14:textId="7C34F90D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 xml:space="preserve">Ensure that </w:t>
      </w:r>
      <w:r w:rsidR="008B6A52">
        <w:t>Wacky Widget</w:t>
      </w:r>
      <w:r w:rsidR="008B6A52" w:rsidRPr="00FE098C">
        <w:rPr>
          <w:rFonts w:ascii="Arial" w:hAnsi="Arial" w:cs="Arial"/>
          <w:sz w:val="20"/>
        </w:rPr>
        <w:t xml:space="preserve"> </w:t>
      </w:r>
      <w:proofErr w:type="gramStart"/>
      <w:r w:rsidRPr="00FE098C">
        <w:rPr>
          <w:rFonts w:ascii="Arial" w:hAnsi="Arial" w:cs="Arial"/>
          <w:sz w:val="20"/>
        </w:rPr>
        <w:t>is able to</w:t>
      </w:r>
      <w:proofErr w:type="gramEnd"/>
      <w:r w:rsidRPr="00FE098C">
        <w:rPr>
          <w:rFonts w:ascii="Arial" w:hAnsi="Arial" w:cs="Arial"/>
          <w:sz w:val="20"/>
        </w:rPr>
        <w:t xml:space="preserve"> continue its activities in the event of significant information security incidents; and</w:t>
      </w:r>
    </w:p>
    <w:p w14:paraId="3F4AFF43" w14:textId="77777777" w:rsidR="00922B0D" w:rsidRPr="00FE098C" w:rsidRDefault="00922B0D" w:rsidP="00922B0D">
      <w:pPr>
        <w:pStyle w:val="NoSpacing"/>
        <w:numPr>
          <w:ilvl w:val="0"/>
          <w:numId w:val="3"/>
        </w:numPr>
        <w:rPr>
          <w:rFonts w:ascii="Arial" w:hAnsi="Arial" w:cs="Arial"/>
          <w:sz w:val="20"/>
        </w:rPr>
      </w:pPr>
      <w:r w:rsidRPr="00FE098C">
        <w:rPr>
          <w:rFonts w:ascii="Arial" w:hAnsi="Arial" w:cs="Arial"/>
          <w:sz w:val="20"/>
        </w:rPr>
        <w:t>Achieve and maintain accredited certification to ISO/IEC 27001:2013.</w:t>
      </w:r>
    </w:p>
    <w:p w14:paraId="3B2F8814" w14:textId="77777777" w:rsidR="002F3432" w:rsidRDefault="002F3432">
      <w:bookmarkStart w:id="27" w:name="_Toc404262643"/>
      <w:bookmarkStart w:id="28" w:name="_Toc412794013"/>
    </w:p>
    <w:p w14:paraId="29843FD5" w14:textId="77777777" w:rsidR="001D33E2" w:rsidRDefault="001D33E2"/>
    <w:p w14:paraId="51919CAE" w14:textId="77777777" w:rsidR="00E758A3" w:rsidRPr="00FF1FFC" w:rsidRDefault="00E758A3" w:rsidP="00E758A3">
      <w:pPr>
        <w:pStyle w:val="Heading1"/>
        <w:numPr>
          <w:ilvl w:val="0"/>
          <w:numId w:val="0"/>
        </w:numPr>
        <w:ind w:left="432" w:hanging="432"/>
      </w:pPr>
      <w:bookmarkStart w:id="29" w:name="_Toc412794015"/>
      <w:bookmarkStart w:id="30" w:name="_Toc415562368"/>
      <w:bookmarkStart w:id="31" w:name="_Toc506993162"/>
      <w:r w:rsidRPr="00FF1FFC">
        <w:t>Responsibilities</w:t>
      </w:r>
      <w:bookmarkEnd w:id="29"/>
      <w:bookmarkEnd w:id="30"/>
      <w:bookmarkEnd w:id="31"/>
    </w:p>
    <w:p w14:paraId="5A3491EE" w14:textId="56A0E636" w:rsidR="00E758A3" w:rsidRDefault="00E758A3" w:rsidP="00E758A3">
      <w:bookmarkStart w:id="32" w:name="_Toc404262646"/>
      <w:bookmarkStart w:id="33" w:name="_Toc412794016"/>
      <w:r w:rsidRPr="00421236">
        <w:t xml:space="preserve">The </w:t>
      </w:r>
      <w:r w:rsidR="008B6A52">
        <w:t xml:space="preserve">Wacky Widget </w:t>
      </w:r>
      <w:r>
        <w:t>President</w:t>
      </w:r>
      <w:r w:rsidRPr="00421236">
        <w:t xml:space="preserve"> is accountable for ensuring compliance with this policy including allocation of resources and responsibilities for implementation and compliance.</w:t>
      </w:r>
      <w:bookmarkEnd w:id="32"/>
      <w:bookmarkEnd w:id="33"/>
      <w:r w:rsidRPr="00421236">
        <w:t xml:space="preserve"> </w:t>
      </w:r>
    </w:p>
    <w:p w14:paraId="2DCF45AF" w14:textId="77777777" w:rsidR="00E758A3" w:rsidRPr="00421236" w:rsidRDefault="00E758A3" w:rsidP="00E758A3"/>
    <w:p w14:paraId="03B10579" w14:textId="0C5D012C" w:rsidR="00E758A3" w:rsidRDefault="00E758A3" w:rsidP="00E758A3">
      <w:bookmarkStart w:id="34" w:name="_Toc404262647"/>
      <w:bookmarkStart w:id="35" w:name="_Toc412794017"/>
      <w:r w:rsidRPr="00421236">
        <w:t xml:space="preserve">The </w:t>
      </w:r>
      <w:r>
        <w:t>President</w:t>
      </w:r>
      <w:r w:rsidRPr="00421236">
        <w:t xml:space="preserve"> deleg</w:t>
      </w:r>
      <w:r>
        <w:t xml:space="preserve">ates authority to the Executive </w:t>
      </w:r>
      <w:r w:rsidRPr="00421236">
        <w:t xml:space="preserve">Management Team for overseeing the control and effectiveness of </w:t>
      </w:r>
      <w:r w:rsidR="008B6A52">
        <w:t>Wacky Widget</w:t>
      </w:r>
      <w:r w:rsidR="008B6A52" w:rsidRPr="00421236">
        <w:t xml:space="preserve"> </w:t>
      </w:r>
      <w:r w:rsidRPr="00421236">
        <w:t>ISMS.</w:t>
      </w:r>
      <w:bookmarkEnd w:id="34"/>
      <w:bookmarkEnd w:id="35"/>
    </w:p>
    <w:p w14:paraId="392B9D98" w14:textId="77777777" w:rsidR="00E758A3" w:rsidRPr="00421236" w:rsidRDefault="00E758A3" w:rsidP="00E758A3"/>
    <w:p w14:paraId="59499141" w14:textId="4AB2C1DB" w:rsidR="00E758A3" w:rsidRDefault="00E758A3" w:rsidP="00E758A3">
      <w:bookmarkStart w:id="36" w:name="_Toc404262648"/>
      <w:bookmarkStart w:id="37" w:name="_Toc412794018"/>
      <w:r w:rsidRPr="00421236">
        <w:t xml:space="preserve">The </w:t>
      </w:r>
      <w:r w:rsidR="001F5686">
        <w:t>Chief Information Security Officer</w:t>
      </w:r>
      <w:r w:rsidRPr="00421236">
        <w:t xml:space="preserve"> who </w:t>
      </w:r>
      <w:proofErr w:type="gramStart"/>
      <w:r w:rsidR="001F5686">
        <w:t>is in charge of</w:t>
      </w:r>
      <w:proofErr w:type="gramEnd"/>
      <w:r w:rsidRPr="00421236">
        <w:t xml:space="preserve"> Information Security at </w:t>
      </w:r>
      <w:r w:rsidR="008B6A52">
        <w:t>Wacky Widget</w:t>
      </w:r>
      <w:r w:rsidR="001F5686">
        <w:t xml:space="preserve"> Inc.</w:t>
      </w:r>
      <w:r w:rsidR="008B6A52" w:rsidRPr="00421236">
        <w:t xml:space="preserve"> </w:t>
      </w:r>
      <w:r w:rsidRPr="00421236">
        <w:t xml:space="preserve">is responsible for maintaining the </w:t>
      </w:r>
      <w:r w:rsidR="001F5686">
        <w:t>ISMS</w:t>
      </w:r>
      <w:r w:rsidRPr="00421236">
        <w:t xml:space="preserve"> and providing support and advice during its implementation.</w:t>
      </w:r>
      <w:bookmarkEnd w:id="36"/>
      <w:bookmarkEnd w:id="37"/>
      <w:r w:rsidRPr="00421236">
        <w:t xml:space="preserve"> </w:t>
      </w:r>
    </w:p>
    <w:p w14:paraId="76565DED" w14:textId="77777777" w:rsidR="00E758A3" w:rsidRPr="00421236" w:rsidRDefault="00E758A3" w:rsidP="00E758A3"/>
    <w:p w14:paraId="6A5E3BD7" w14:textId="77777777" w:rsidR="00E758A3" w:rsidRDefault="00E758A3" w:rsidP="00E758A3">
      <w:bookmarkStart w:id="38" w:name="_Toc404262649"/>
      <w:bookmarkStart w:id="39" w:name="_Toc412794019"/>
      <w:r w:rsidRPr="00421236">
        <w:t>Steering groups exist within the respective lines of responsibility for coordinating information security efforts and aligning activity to ensure continual improvement and overall ISMS effectiveness at a strategic and operational level.</w:t>
      </w:r>
      <w:bookmarkEnd w:id="38"/>
      <w:bookmarkEnd w:id="39"/>
    </w:p>
    <w:p w14:paraId="3C2A92EE" w14:textId="77777777" w:rsidR="00E758A3" w:rsidRPr="00421236" w:rsidRDefault="00E758A3" w:rsidP="00E758A3"/>
    <w:p w14:paraId="4853768C" w14:textId="52A95E49" w:rsidR="00E758A3" w:rsidRPr="00421236" w:rsidRDefault="00E758A3" w:rsidP="00E758A3">
      <w:bookmarkStart w:id="40" w:name="_Toc404262650"/>
      <w:bookmarkStart w:id="41" w:name="_Toc412794020"/>
      <w:r w:rsidRPr="00421236">
        <w:t xml:space="preserve">Senior management, employees, sub-contractors, project consultants and any other external </w:t>
      </w:r>
      <w:r>
        <w:t>3</w:t>
      </w:r>
      <w:r w:rsidRPr="00DA481A">
        <w:rPr>
          <w:vertAlign w:val="superscript"/>
        </w:rPr>
        <w:t>rd</w:t>
      </w:r>
      <w:r>
        <w:t xml:space="preserve"> </w:t>
      </w:r>
      <w:r w:rsidRPr="00421236">
        <w:t>parties have, and will be made aware of, their responsibilities</w:t>
      </w:r>
      <w:r>
        <w:t xml:space="preserve"> to</w:t>
      </w:r>
      <w:r w:rsidRPr="00421236">
        <w:t xml:space="preserve"> act in accordance with the requirements of the </w:t>
      </w:r>
      <w:r w:rsidR="008B6A52">
        <w:t>Wacky Widget</w:t>
      </w:r>
      <w:r w:rsidR="008B6A52" w:rsidRPr="00421236">
        <w:t xml:space="preserve"> </w:t>
      </w:r>
      <w:r w:rsidRPr="00421236">
        <w:t xml:space="preserve">ISMS. The consequences of security policy violations are described in </w:t>
      </w:r>
      <w:r w:rsidR="008B6A52">
        <w:t>Wacky Widget</w:t>
      </w:r>
      <w:r w:rsidR="008B6A52" w:rsidRPr="00421236">
        <w:t xml:space="preserve"> </w:t>
      </w:r>
      <w:r w:rsidRPr="00421236">
        <w:t>disciplinary processes contained with the Employee Handbook.</w:t>
      </w:r>
      <w:bookmarkEnd w:id="40"/>
      <w:bookmarkEnd w:id="41"/>
      <w:r w:rsidRPr="00421236">
        <w:t xml:space="preserve"> </w:t>
      </w:r>
      <w:r>
        <w:lastRenderedPageBreak/>
        <w:t>Contracts with 3rd parties will stipulate that the agreements may be immediately terminated if violations occur.</w:t>
      </w:r>
    </w:p>
    <w:p w14:paraId="44F7BAA4" w14:textId="77777777" w:rsidR="00E758A3" w:rsidRDefault="00E758A3" w:rsidP="00E758A3">
      <w:bookmarkStart w:id="42" w:name="_Toc404262651"/>
      <w:bookmarkStart w:id="43" w:name="_Toc412794021"/>
    </w:p>
    <w:p w14:paraId="6EC000FD" w14:textId="636EBCD1" w:rsidR="00E758A3" w:rsidRPr="00421236" w:rsidRDefault="00E758A3" w:rsidP="00E758A3">
      <w:r w:rsidRPr="00421236">
        <w:t>All employees</w:t>
      </w:r>
      <w:r w:rsidR="001F5686">
        <w:t>, including contractors,</w:t>
      </w:r>
      <w:r w:rsidRPr="00421236">
        <w:t xml:space="preserve"> will receive information security awareness training</w:t>
      </w:r>
      <w:r w:rsidR="001F5686">
        <w:t>. S</w:t>
      </w:r>
      <w:r w:rsidRPr="00421236">
        <w:t xml:space="preserve">pecialist employees will receive appropriately focused training as required </w:t>
      </w:r>
      <w:bookmarkEnd w:id="42"/>
      <w:bookmarkEnd w:id="43"/>
    </w:p>
    <w:p w14:paraId="56F2DAD3" w14:textId="77777777" w:rsidR="00E758A3" w:rsidRPr="00FE098C" w:rsidRDefault="00E758A3"/>
    <w:p w14:paraId="3DC1C6AA" w14:textId="77777777" w:rsidR="00922B0D" w:rsidRPr="00FE098C" w:rsidRDefault="00922B0D" w:rsidP="00FE098C">
      <w:pPr>
        <w:pStyle w:val="Heading1"/>
        <w:numPr>
          <w:ilvl w:val="0"/>
          <w:numId w:val="0"/>
        </w:numPr>
        <w:ind w:left="432" w:hanging="432"/>
      </w:pPr>
      <w:bookmarkStart w:id="44" w:name="_Toc404262657"/>
      <w:bookmarkStart w:id="45" w:name="_Toc404262822"/>
      <w:bookmarkStart w:id="46" w:name="_Toc404262946"/>
      <w:bookmarkStart w:id="47" w:name="_Toc404263208"/>
      <w:bookmarkStart w:id="48" w:name="_Toc412794028"/>
      <w:bookmarkStart w:id="49" w:name="_Toc415562371"/>
      <w:bookmarkStart w:id="50" w:name="_Toc427135132"/>
      <w:bookmarkEnd w:id="27"/>
      <w:bookmarkEnd w:id="28"/>
      <w:r w:rsidRPr="00FE098C">
        <w:t>Compliance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4DEF44D1" w14:textId="77777777" w:rsidR="00922B0D" w:rsidRPr="00FE098C" w:rsidRDefault="00922B0D" w:rsidP="00B606AA">
      <w:bookmarkStart w:id="51" w:name="_Toc404262658"/>
      <w:bookmarkStart w:id="52" w:name="_Toc412794029"/>
      <w:r w:rsidRPr="00FE098C">
        <w:t xml:space="preserve">All employees will receive appropriate Information Security training, annually. The consequences of breaching the information security policy are set out in the </w:t>
      </w:r>
      <w:r w:rsidR="00271468" w:rsidRPr="00FE098C">
        <w:t>organization’s</w:t>
      </w:r>
      <w:r w:rsidRPr="00FE098C">
        <w:t xml:space="preserve"> disciplinary policy and in contracts and agreements with third parties.</w:t>
      </w:r>
      <w:bookmarkEnd w:id="51"/>
      <w:bookmarkEnd w:id="52"/>
    </w:p>
    <w:p w14:paraId="6F2FF6B1" w14:textId="77777777" w:rsidR="00B606AA" w:rsidRPr="00FE098C" w:rsidRDefault="00B606AA" w:rsidP="00B606AA"/>
    <w:p w14:paraId="1E17CC4E" w14:textId="77777777" w:rsidR="00922B0D" w:rsidRPr="00FE098C" w:rsidRDefault="00922B0D" w:rsidP="00B606AA">
      <w:bookmarkStart w:id="53" w:name="_Toc404262659"/>
      <w:bookmarkStart w:id="54" w:name="_Toc412794030"/>
      <w:r w:rsidRPr="00FE098C">
        <w:t>The ISMS is subject to continuous, systematic review and improvement.</w:t>
      </w:r>
      <w:bookmarkEnd w:id="53"/>
      <w:bookmarkEnd w:id="54"/>
      <w:r w:rsidRPr="00FE098C">
        <w:t xml:space="preserve"> </w:t>
      </w:r>
    </w:p>
    <w:p w14:paraId="1205844F" w14:textId="77777777" w:rsidR="00B606AA" w:rsidRPr="00FE098C" w:rsidRDefault="00B606AA" w:rsidP="00B606AA">
      <w:bookmarkStart w:id="55" w:name="_Toc404262660"/>
      <w:bookmarkStart w:id="56" w:name="_Toc412794031"/>
    </w:p>
    <w:p w14:paraId="78B19879" w14:textId="45110518" w:rsidR="00922B0D" w:rsidRPr="00FE098C" w:rsidRDefault="00DA481A" w:rsidP="00B606AA">
      <w:r w:rsidRPr="00FE098C">
        <w:t>T</w:t>
      </w:r>
      <w:r w:rsidR="00143C11" w:rsidRPr="00FE098C">
        <w:t xml:space="preserve">he </w:t>
      </w:r>
      <w:r w:rsidR="001F5686">
        <w:t>Chief Information Officer,</w:t>
      </w:r>
      <w:r w:rsidR="005257A3" w:rsidRPr="00FE098C">
        <w:t xml:space="preserve"> Chief Technical Officer,</w:t>
      </w:r>
      <w:r w:rsidR="00922B0D" w:rsidRPr="00FE098C">
        <w:t xml:space="preserve"> and other executives/specialists/risk specialists</w:t>
      </w:r>
      <w:r w:rsidRPr="00FE098C">
        <w:t>,</w:t>
      </w:r>
      <w:r w:rsidR="00922B0D" w:rsidRPr="00FE098C">
        <w:t xml:space="preserve"> </w:t>
      </w:r>
      <w:r w:rsidRPr="00FE098C">
        <w:t>who</w:t>
      </w:r>
      <w:r w:rsidR="00922B0D" w:rsidRPr="00FE098C">
        <w:t xml:space="preserve"> support the ISMS framework</w:t>
      </w:r>
      <w:r w:rsidRPr="00FE098C">
        <w:t>,</w:t>
      </w:r>
      <w:r w:rsidR="00922B0D" w:rsidRPr="00FE098C">
        <w:t xml:space="preserve"> periodically review the security policy.</w:t>
      </w:r>
      <w:bookmarkEnd w:id="55"/>
      <w:bookmarkEnd w:id="56"/>
    </w:p>
    <w:p w14:paraId="503348A0" w14:textId="77777777" w:rsidR="006E50DB" w:rsidRPr="00FE098C" w:rsidRDefault="00922B0D">
      <w:r w:rsidRPr="00FE098C">
        <w:rPr>
          <w:rFonts w:cs="Arial"/>
          <w:sz w:val="22"/>
          <w:szCs w:val="22"/>
        </w:rPr>
        <w:br w:type="page"/>
      </w:r>
    </w:p>
    <w:p w14:paraId="5A7606E7" w14:textId="77777777" w:rsidR="00E4019F" w:rsidRPr="00FE098C" w:rsidRDefault="00E4019F" w:rsidP="00FF1FFC">
      <w:pPr>
        <w:pStyle w:val="Heading1"/>
      </w:pPr>
      <w:bookmarkStart w:id="57" w:name="_Toc415562372"/>
      <w:bookmarkStart w:id="58" w:name="_Toc427135133"/>
      <w:r w:rsidRPr="00FE098C">
        <w:lastRenderedPageBreak/>
        <w:t xml:space="preserve">Document </w:t>
      </w:r>
      <w:r w:rsidR="0034051C" w:rsidRPr="00FE098C">
        <w:t xml:space="preserve">Control </w:t>
      </w:r>
      <w:r w:rsidRPr="00FE098C">
        <w:t>and Approval</w:t>
      </w:r>
      <w:bookmarkEnd w:id="57"/>
      <w:bookmarkEnd w:id="58"/>
    </w:p>
    <w:p w14:paraId="7CF3B184" w14:textId="77777777" w:rsidR="00E4019F" w:rsidRPr="00FE098C" w:rsidRDefault="00E4019F" w:rsidP="00E4019F">
      <w:pPr>
        <w:rPr>
          <w:rFonts w:cs="Arial"/>
        </w:rPr>
      </w:pPr>
    </w:p>
    <w:p w14:paraId="2BEE20D9" w14:textId="36EE66FD" w:rsidR="00E4019F" w:rsidRPr="00FE098C" w:rsidRDefault="00E4019F" w:rsidP="00E4019F">
      <w:pPr>
        <w:rPr>
          <w:rFonts w:cs="Arial"/>
        </w:rPr>
      </w:pPr>
      <w:bookmarkStart w:id="59" w:name="_Hlk4624450"/>
      <w:r w:rsidRPr="00FE098C">
        <w:rPr>
          <w:rFonts w:cs="Arial"/>
        </w:rPr>
        <w:t xml:space="preserve">The </w:t>
      </w:r>
      <w:r w:rsidR="00042BA5">
        <w:rPr>
          <w:rFonts w:cs="Arial"/>
        </w:rPr>
        <w:t>Chief Information Security Officer</w:t>
      </w:r>
      <w:r w:rsidRPr="00FE098C">
        <w:rPr>
          <w:rFonts w:cs="Arial"/>
        </w:rPr>
        <w:t xml:space="preserve"> is the owner of this document and is responsible for ensuring that this procedure is reviewed in line with the review requirements of the ISMS. </w:t>
      </w:r>
    </w:p>
    <w:p w14:paraId="696EDD1A" w14:textId="77777777" w:rsidR="00E4019F" w:rsidRPr="00FE098C" w:rsidRDefault="00E4019F" w:rsidP="00E4019F">
      <w:pPr>
        <w:ind w:hanging="720"/>
        <w:rPr>
          <w:rFonts w:cs="Arial"/>
        </w:rPr>
      </w:pPr>
    </w:p>
    <w:p w14:paraId="5D251818" w14:textId="77777777" w:rsidR="00E4019F" w:rsidRPr="00FE098C" w:rsidRDefault="00E4019F" w:rsidP="00E4019F">
      <w:pPr>
        <w:rPr>
          <w:rFonts w:cs="Arial"/>
        </w:rPr>
      </w:pPr>
      <w:r w:rsidRPr="00FE098C">
        <w:rPr>
          <w:rFonts w:cs="Arial"/>
        </w:rPr>
        <w:t>A current version of this document is avail</w:t>
      </w:r>
      <w:r w:rsidR="005C003F" w:rsidRPr="00FE098C">
        <w:rPr>
          <w:rFonts w:cs="Arial"/>
        </w:rPr>
        <w:t>able to all members of staff</w:t>
      </w:r>
      <w:r w:rsidRPr="00FE098C">
        <w:rPr>
          <w:rFonts w:cs="Arial"/>
        </w:rPr>
        <w:t xml:space="preserve"> and is the published version.</w:t>
      </w:r>
    </w:p>
    <w:p w14:paraId="731A2EE7" w14:textId="2951F508" w:rsidR="00E4019F" w:rsidRDefault="00E4019F" w:rsidP="00E4019F">
      <w:pPr>
        <w:rPr>
          <w:rFonts w:cs="Arial"/>
        </w:rPr>
      </w:pPr>
    </w:p>
    <w:p w14:paraId="42CA8F9F" w14:textId="77777777" w:rsidR="008B6A52" w:rsidRPr="00342D56" w:rsidRDefault="008B6A52" w:rsidP="008B6A52">
      <w:pPr>
        <w:rPr>
          <w:rFonts w:cs="Arial"/>
        </w:rPr>
      </w:pPr>
    </w:p>
    <w:p w14:paraId="6FF4918A" w14:textId="77777777" w:rsidR="008B6A52" w:rsidRPr="00342D56" w:rsidRDefault="008B6A52" w:rsidP="008B6A52">
      <w:pPr>
        <w:rPr>
          <w:rFonts w:cs="Arial"/>
        </w:rPr>
      </w:pPr>
      <w:r w:rsidRPr="00342D56">
        <w:rPr>
          <w:rFonts w:cs="Arial"/>
        </w:rPr>
        <w:t>Signature:</w:t>
      </w:r>
      <w:r w:rsidRPr="00342D56">
        <w:rPr>
          <w:rFonts w:cs="Arial"/>
        </w:rPr>
        <w:tab/>
      </w:r>
      <w:r>
        <w:rPr>
          <w:rFonts w:ascii="Brush Script MT" w:hAnsi="Brush Script MT" w:cs="Arial"/>
          <w:sz w:val="24"/>
        </w:rPr>
        <w:t>Executive Manager Signature</w:t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</w:r>
      <w:r w:rsidRPr="00342D56">
        <w:rPr>
          <w:rFonts w:cs="Arial"/>
        </w:rPr>
        <w:tab/>
        <w:t xml:space="preserve">Date: </w:t>
      </w:r>
      <w:r>
        <w:rPr>
          <w:rFonts w:cs="Arial"/>
        </w:rPr>
        <w:t>01.01.2019</w:t>
      </w:r>
    </w:p>
    <w:p w14:paraId="14803F9D" w14:textId="77777777" w:rsidR="008B6A52" w:rsidRPr="002011C7" w:rsidRDefault="008B6A52" w:rsidP="008B6A52">
      <w:pPr>
        <w:rPr>
          <w:rFonts w:cs="Arial"/>
        </w:rPr>
      </w:pPr>
    </w:p>
    <w:p w14:paraId="171533D8" w14:textId="77777777" w:rsidR="008B6A52" w:rsidRPr="00342D56" w:rsidRDefault="008B6A52" w:rsidP="008B6A52">
      <w:pPr>
        <w:rPr>
          <w:rFonts w:cs="Arial"/>
        </w:rPr>
      </w:pPr>
    </w:p>
    <w:p w14:paraId="237295BA" w14:textId="77777777" w:rsidR="008B6A52" w:rsidRPr="00342D56" w:rsidRDefault="008B6A52" w:rsidP="008B6A52">
      <w:pPr>
        <w:pStyle w:val="Heading2"/>
      </w:pPr>
      <w:bookmarkStart w:id="60" w:name="_Toc412794034"/>
      <w:bookmarkStart w:id="61" w:name="_Toc535885337"/>
      <w:r w:rsidRPr="00342D56">
        <w:t>Distribution</w:t>
      </w:r>
      <w:bookmarkEnd w:id="60"/>
      <w:bookmarkEnd w:id="61"/>
    </w:p>
    <w:p w14:paraId="7DE6B325" w14:textId="77777777" w:rsidR="008B6A52" w:rsidRPr="00E4019F" w:rsidRDefault="008B6A52" w:rsidP="008B6A52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0"/>
        <w:gridCol w:w="6120"/>
      </w:tblGrid>
      <w:tr w:rsidR="008B6A52" w:rsidRPr="00E4019F" w14:paraId="56AE1D24" w14:textId="77777777" w:rsidTr="008B6A52">
        <w:tc>
          <w:tcPr>
            <w:tcW w:w="2970" w:type="dxa"/>
            <w:shd w:val="pct20" w:color="auto" w:fill="auto"/>
          </w:tcPr>
          <w:p w14:paraId="16738396" w14:textId="77777777" w:rsidR="008B6A52" w:rsidRPr="00E4019F" w:rsidRDefault="008B6A52" w:rsidP="008B6A52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Name</w:t>
            </w:r>
          </w:p>
        </w:tc>
        <w:tc>
          <w:tcPr>
            <w:tcW w:w="6120" w:type="dxa"/>
            <w:shd w:val="pct20" w:color="auto" w:fill="auto"/>
          </w:tcPr>
          <w:p w14:paraId="688BCFC1" w14:textId="77777777" w:rsidR="008B6A52" w:rsidRPr="00E4019F" w:rsidRDefault="008B6A52" w:rsidP="008B6A52">
            <w:pPr>
              <w:rPr>
                <w:rFonts w:cs="Arial"/>
                <w:b/>
              </w:rPr>
            </w:pPr>
            <w:r w:rsidRPr="00E4019F">
              <w:rPr>
                <w:rFonts w:cs="Arial"/>
                <w:b/>
              </w:rPr>
              <w:t>Role</w:t>
            </w:r>
          </w:p>
        </w:tc>
      </w:tr>
      <w:tr w:rsidR="008B6A52" w:rsidRPr="00E4019F" w14:paraId="2206DAB5" w14:textId="77777777" w:rsidTr="008B6A52">
        <w:tc>
          <w:tcPr>
            <w:tcW w:w="2970" w:type="dxa"/>
          </w:tcPr>
          <w:p w14:paraId="70A0DBD8" w14:textId="77777777" w:rsidR="008B6A52" w:rsidRPr="00E4019F" w:rsidRDefault="008B6A52" w:rsidP="008B6A52">
            <w:pPr>
              <w:spacing w:before="12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Intranet</w:t>
            </w:r>
          </w:p>
          <w:p w14:paraId="661EF1A4" w14:textId="77777777" w:rsidR="008B6A52" w:rsidRPr="00E4019F" w:rsidRDefault="008B6A52" w:rsidP="008B6A52">
            <w:pPr>
              <w:spacing w:before="120"/>
              <w:rPr>
                <w:rFonts w:cs="Arial"/>
                <w:i/>
              </w:rPr>
            </w:pPr>
          </w:p>
        </w:tc>
        <w:tc>
          <w:tcPr>
            <w:tcW w:w="6120" w:type="dxa"/>
          </w:tcPr>
          <w:p w14:paraId="4C290A4D" w14:textId="77777777" w:rsidR="008B6A52" w:rsidRPr="00E4019F" w:rsidRDefault="008B6A52" w:rsidP="008B6A52">
            <w:pPr>
              <w:spacing w:before="120"/>
              <w:rPr>
                <w:rFonts w:cs="Arial"/>
                <w:i/>
              </w:rPr>
            </w:pPr>
            <w:proofErr w:type="gramStart"/>
            <w:r>
              <w:rPr>
                <w:rFonts w:cs="Arial"/>
                <w:i/>
              </w:rPr>
              <w:t>Distribution  to</w:t>
            </w:r>
            <w:proofErr w:type="gramEnd"/>
            <w:r>
              <w:rPr>
                <w:rFonts w:cs="Arial"/>
                <w:i/>
              </w:rPr>
              <w:t xml:space="preserve"> all staff</w:t>
            </w:r>
          </w:p>
          <w:p w14:paraId="5D7D1120" w14:textId="77777777" w:rsidR="008B6A52" w:rsidRPr="00E4019F" w:rsidRDefault="008B6A52" w:rsidP="008B6A52">
            <w:pPr>
              <w:spacing w:before="120"/>
              <w:rPr>
                <w:rFonts w:cs="Arial"/>
                <w:i/>
              </w:rPr>
            </w:pPr>
          </w:p>
        </w:tc>
      </w:tr>
    </w:tbl>
    <w:p w14:paraId="7C0122AC" w14:textId="77777777" w:rsidR="008B6A52" w:rsidRPr="00E4019F" w:rsidRDefault="008B6A52" w:rsidP="008B6A52">
      <w:pPr>
        <w:pStyle w:val="Heading2"/>
        <w:numPr>
          <w:ilvl w:val="0"/>
          <w:numId w:val="0"/>
        </w:numPr>
        <w:rPr>
          <w:rFonts w:cs="Arial"/>
          <w:i/>
        </w:rPr>
      </w:pPr>
    </w:p>
    <w:p w14:paraId="529C2748" w14:textId="77777777" w:rsidR="008B6A52" w:rsidRPr="0034051C" w:rsidRDefault="008B6A52" w:rsidP="008B6A52">
      <w:pPr>
        <w:pStyle w:val="Heading2"/>
      </w:pPr>
      <w:bookmarkStart w:id="62" w:name="_Toc412794035"/>
      <w:bookmarkStart w:id="63" w:name="_Toc535885338"/>
      <w:r w:rsidRPr="0034051C">
        <w:t>Version Information</w:t>
      </w:r>
      <w:bookmarkEnd w:id="62"/>
      <w:bookmarkEnd w:id="63"/>
    </w:p>
    <w:p w14:paraId="4B9BC64E" w14:textId="77777777" w:rsidR="008B6A52" w:rsidRPr="00E4019F" w:rsidRDefault="008B6A52" w:rsidP="008B6A52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1985"/>
        <w:gridCol w:w="4819"/>
      </w:tblGrid>
      <w:tr w:rsidR="008B6A52" w:rsidRPr="00E4019F" w14:paraId="6A9989EE" w14:textId="77777777" w:rsidTr="008B6A52">
        <w:trPr>
          <w:cantSplit/>
        </w:trPr>
        <w:tc>
          <w:tcPr>
            <w:tcW w:w="993" w:type="dxa"/>
            <w:shd w:val="pct20" w:color="auto" w:fill="auto"/>
          </w:tcPr>
          <w:p w14:paraId="32136D50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Version</w:t>
            </w:r>
          </w:p>
        </w:tc>
        <w:tc>
          <w:tcPr>
            <w:tcW w:w="1275" w:type="dxa"/>
            <w:shd w:val="pct20" w:color="auto" w:fill="auto"/>
          </w:tcPr>
          <w:p w14:paraId="2E555AC6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Date</w:t>
            </w:r>
          </w:p>
        </w:tc>
        <w:tc>
          <w:tcPr>
            <w:tcW w:w="1985" w:type="dxa"/>
            <w:shd w:val="pct20" w:color="auto" w:fill="auto"/>
          </w:tcPr>
          <w:p w14:paraId="1B882710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Author(s)</w:t>
            </w:r>
          </w:p>
        </w:tc>
        <w:tc>
          <w:tcPr>
            <w:tcW w:w="4819" w:type="dxa"/>
            <w:shd w:val="pct20" w:color="auto" w:fill="auto"/>
          </w:tcPr>
          <w:p w14:paraId="514F4F14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  <w:b/>
              </w:rPr>
              <w:t>Details</w:t>
            </w:r>
          </w:p>
        </w:tc>
      </w:tr>
      <w:tr w:rsidR="008B6A52" w:rsidRPr="00E4019F" w14:paraId="322DC996" w14:textId="77777777" w:rsidTr="008B6A52">
        <w:trPr>
          <w:cantSplit/>
        </w:trPr>
        <w:tc>
          <w:tcPr>
            <w:tcW w:w="993" w:type="dxa"/>
          </w:tcPr>
          <w:p w14:paraId="1F4D5D3C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</w:rPr>
              <w:t>0.</w:t>
            </w:r>
            <w:r>
              <w:rPr>
                <w:rFonts w:cs="Arial"/>
              </w:rPr>
              <w:t>1</w:t>
            </w:r>
          </w:p>
        </w:tc>
        <w:tc>
          <w:tcPr>
            <w:tcW w:w="1275" w:type="dxa"/>
          </w:tcPr>
          <w:p w14:paraId="75FE7E3E" w14:textId="77777777" w:rsidR="008B6A52" w:rsidRPr="00E4019F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11/28</w:t>
            </w:r>
            <w:r w:rsidRPr="00E4019F">
              <w:rPr>
                <w:rFonts w:cs="Arial"/>
              </w:rPr>
              <w:t>/1</w:t>
            </w:r>
            <w:r>
              <w:rPr>
                <w:rFonts w:cs="Arial"/>
              </w:rPr>
              <w:t>8</w:t>
            </w:r>
          </w:p>
        </w:tc>
        <w:tc>
          <w:tcPr>
            <w:tcW w:w="1985" w:type="dxa"/>
          </w:tcPr>
          <w:p w14:paraId="3F3DFA3F" w14:textId="77777777" w:rsidR="008B6A52" w:rsidRPr="00E4019F" w:rsidRDefault="008B6A52" w:rsidP="008B6A5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  <w:r w:rsidRPr="00E4019F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47B6281D" w14:textId="77777777" w:rsidR="008B6A52" w:rsidRPr="00E4019F" w:rsidRDefault="008B6A52" w:rsidP="008B6A52">
            <w:pPr>
              <w:rPr>
                <w:rFonts w:cs="Arial"/>
              </w:rPr>
            </w:pPr>
            <w:r w:rsidRPr="00E4019F">
              <w:rPr>
                <w:rFonts w:cs="Arial"/>
              </w:rPr>
              <w:t>First draft</w:t>
            </w:r>
          </w:p>
        </w:tc>
      </w:tr>
      <w:tr w:rsidR="008B6A52" w:rsidRPr="00E4019F" w14:paraId="5CE70DE3" w14:textId="77777777" w:rsidTr="008B6A52">
        <w:trPr>
          <w:cantSplit/>
        </w:trPr>
        <w:tc>
          <w:tcPr>
            <w:tcW w:w="993" w:type="dxa"/>
          </w:tcPr>
          <w:p w14:paraId="219B4C4C" w14:textId="77777777" w:rsidR="008B6A52" w:rsidRPr="00E4019F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275" w:type="dxa"/>
          </w:tcPr>
          <w:p w14:paraId="5DCABA0D" w14:textId="77777777" w:rsidR="008B6A52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12/07/18</w:t>
            </w:r>
          </w:p>
        </w:tc>
        <w:tc>
          <w:tcPr>
            <w:tcW w:w="1985" w:type="dxa"/>
          </w:tcPr>
          <w:p w14:paraId="455078A3" w14:textId="77777777" w:rsidR="008B6A52" w:rsidRPr="00E4019F" w:rsidRDefault="008B6A52" w:rsidP="008B6A5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</w:p>
        </w:tc>
        <w:tc>
          <w:tcPr>
            <w:tcW w:w="4819" w:type="dxa"/>
          </w:tcPr>
          <w:p w14:paraId="3B30DEFB" w14:textId="77777777" w:rsidR="008B6A52" w:rsidRPr="00E4019F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</w:tr>
      <w:tr w:rsidR="008B6A52" w:rsidRPr="00E4019F" w14:paraId="38057076" w14:textId="77777777" w:rsidTr="008B6A52">
        <w:trPr>
          <w:cantSplit/>
        </w:trPr>
        <w:tc>
          <w:tcPr>
            <w:tcW w:w="993" w:type="dxa"/>
          </w:tcPr>
          <w:p w14:paraId="270C9AFA" w14:textId="77777777" w:rsidR="008B6A52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275" w:type="dxa"/>
          </w:tcPr>
          <w:p w14:paraId="29A236AC" w14:textId="77777777" w:rsidR="008B6A52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01/01/19</w:t>
            </w:r>
          </w:p>
        </w:tc>
        <w:tc>
          <w:tcPr>
            <w:tcW w:w="1985" w:type="dxa"/>
          </w:tcPr>
          <w:p w14:paraId="4F1833C2" w14:textId="77777777" w:rsidR="008B6A52" w:rsidRDefault="008B6A52" w:rsidP="008B6A5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M.Woolard</w:t>
            </w:r>
            <w:proofErr w:type="spellEnd"/>
          </w:p>
        </w:tc>
        <w:tc>
          <w:tcPr>
            <w:tcW w:w="4819" w:type="dxa"/>
          </w:tcPr>
          <w:p w14:paraId="6E867A0E" w14:textId="77777777" w:rsidR="008B6A52" w:rsidRDefault="008B6A52" w:rsidP="008B6A52">
            <w:pPr>
              <w:rPr>
                <w:rFonts w:cs="Arial"/>
              </w:rPr>
            </w:pPr>
            <w:r>
              <w:rPr>
                <w:rFonts w:cs="Arial"/>
              </w:rPr>
              <w:t>First published</w:t>
            </w:r>
          </w:p>
        </w:tc>
      </w:tr>
      <w:tr w:rsidR="008B6A52" w:rsidRPr="00E4019F" w14:paraId="6F06A90E" w14:textId="77777777" w:rsidTr="008B6A52">
        <w:trPr>
          <w:cantSplit/>
        </w:trPr>
        <w:tc>
          <w:tcPr>
            <w:tcW w:w="993" w:type="dxa"/>
          </w:tcPr>
          <w:p w14:paraId="43B81EA2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97BF66F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73A9C209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5285B892" w14:textId="77777777" w:rsidR="008B6A52" w:rsidRDefault="008B6A52" w:rsidP="008B6A52">
            <w:pPr>
              <w:rPr>
                <w:rFonts w:cs="Arial"/>
              </w:rPr>
            </w:pPr>
          </w:p>
        </w:tc>
      </w:tr>
      <w:tr w:rsidR="008B6A52" w:rsidRPr="00E4019F" w14:paraId="1B5991E9" w14:textId="77777777" w:rsidTr="008B6A52">
        <w:trPr>
          <w:cantSplit/>
        </w:trPr>
        <w:tc>
          <w:tcPr>
            <w:tcW w:w="993" w:type="dxa"/>
          </w:tcPr>
          <w:p w14:paraId="6D906D21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58B76C52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0FC35DD5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54F37843" w14:textId="77777777" w:rsidR="008B6A52" w:rsidRDefault="008B6A52" w:rsidP="008B6A52">
            <w:pPr>
              <w:rPr>
                <w:rFonts w:cs="Arial"/>
              </w:rPr>
            </w:pPr>
          </w:p>
        </w:tc>
      </w:tr>
      <w:tr w:rsidR="008B6A52" w:rsidRPr="00E4019F" w14:paraId="7F817E74" w14:textId="77777777" w:rsidTr="008B6A52">
        <w:trPr>
          <w:cantSplit/>
        </w:trPr>
        <w:tc>
          <w:tcPr>
            <w:tcW w:w="993" w:type="dxa"/>
          </w:tcPr>
          <w:p w14:paraId="563F5CE1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57DAF748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064D734E" w14:textId="77777777" w:rsidR="008B6A52" w:rsidRDefault="008B6A52" w:rsidP="008B6A52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644D2B42" w14:textId="77777777" w:rsidR="008B6A52" w:rsidRDefault="008B6A52" w:rsidP="008B6A52">
            <w:pPr>
              <w:rPr>
                <w:rFonts w:cs="Arial"/>
              </w:rPr>
            </w:pPr>
          </w:p>
        </w:tc>
      </w:tr>
      <w:tr w:rsidR="008B6A52" w:rsidRPr="00E4019F" w14:paraId="0DFE07C4" w14:textId="77777777" w:rsidTr="008B6A52">
        <w:trPr>
          <w:cantSplit/>
        </w:trPr>
        <w:tc>
          <w:tcPr>
            <w:tcW w:w="993" w:type="dxa"/>
          </w:tcPr>
          <w:p w14:paraId="25DD3588" w14:textId="77777777" w:rsidR="008B6A52" w:rsidRPr="00E4019F" w:rsidRDefault="008B6A52" w:rsidP="008B6A52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325B72F5" w14:textId="77777777" w:rsidR="008B6A52" w:rsidRPr="00E4019F" w:rsidRDefault="008B6A52" w:rsidP="008B6A52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7955DE97" w14:textId="77777777" w:rsidR="008B6A52" w:rsidRPr="00E4019F" w:rsidRDefault="008B6A52" w:rsidP="008B6A52">
            <w:pPr>
              <w:rPr>
                <w:rFonts w:cs="Arial"/>
              </w:rPr>
            </w:pPr>
          </w:p>
        </w:tc>
        <w:tc>
          <w:tcPr>
            <w:tcW w:w="4819" w:type="dxa"/>
          </w:tcPr>
          <w:p w14:paraId="6E4952E5" w14:textId="77777777" w:rsidR="008B6A52" w:rsidRPr="00E4019F" w:rsidRDefault="008B6A52" w:rsidP="008B6A52">
            <w:pPr>
              <w:rPr>
                <w:rFonts w:cs="Arial"/>
              </w:rPr>
            </w:pPr>
          </w:p>
        </w:tc>
      </w:tr>
    </w:tbl>
    <w:bookmarkEnd w:id="59"/>
    <w:p w14:paraId="657CA552" w14:textId="77777777" w:rsidR="008B6A52" w:rsidRDefault="008B6A52" w:rsidP="008B6A52">
      <w:pPr>
        <w:pStyle w:val="Heading1"/>
        <w:numPr>
          <w:ilvl w:val="0"/>
          <w:numId w:val="0"/>
        </w:numPr>
        <w:tabs>
          <w:tab w:val="left" w:pos="4082"/>
        </w:tabs>
        <w:rPr>
          <w:rFonts w:cs="Arial"/>
          <w:lang w:eastAsia="en-GB"/>
        </w:rPr>
      </w:pPr>
      <w:r>
        <w:rPr>
          <w:rFonts w:cs="Arial"/>
          <w:lang w:eastAsia="en-GB"/>
        </w:rPr>
        <w:t xml:space="preserve"> </w:t>
      </w:r>
    </w:p>
    <w:p w14:paraId="48320A86" w14:textId="77777777" w:rsidR="008B6A52" w:rsidRPr="00FE098C" w:rsidRDefault="008B6A52" w:rsidP="00E4019F">
      <w:pPr>
        <w:rPr>
          <w:rFonts w:cs="Arial"/>
        </w:rPr>
      </w:pPr>
    </w:p>
    <w:sectPr w:rsidR="008B6A52" w:rsidRPr="00FE098C">
      <w:pgSz w:w="11909" w:h="16834" w:code="9"/>
      <w:pgMar w:top="1242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7FB1" w14:textId="77777777" w:rsidR="00DC7313" w:rsidRDefault="00DC7313" w:rsidP="006E50DB">
      <w:r>
        <w:separator/>
      </w:r>
    </w:p>
  </w:endnote>
  <w:endnote w:type="continuationSeparator" w:id="0">
    <w:p w14:paraId="007B5CB3" w14:textId="77777777" w:rsidR="00DC7313" w:rsidRDefault="00DC7313" w:rsidP="006E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A674" w14:textId="77777777" w:rsidR="00DC7313" w:rsidRDefault="00DC7313" w:rsidP="006E50DB">
      <w:r>
        <w:separator/>
      </w:r>
    </w:p>
  </w:footnote>
  <w:footnote w:type="continuationSeparator" w:id="0">
    <w:p w14:paraId="043D80B9" w14:textId="77777777" w:rsidR="00DC7313" w:rsidRDefault="00DC7313" w:rsidP="006E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7A1"/>
    <w:multiLevelType w:val="hybridMultilevel"/>
    <w:tmpl w:val="F9280380"/>
    <w:lvl w:ilvl="0" w:tplc="1BDE9BA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44CBE"/>
    <w:multiLevelType w:val="multilevel"/>
    <w:tmpl w:val="5254E3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F4E58"/>
    <w:multiLevelType w:val="hybridMultilevel"/>
    <w:tmpl w:val="7136C5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D6398"/>
    <w:multiLevelType w:val="hybridMultilevel"/>
    <w:tmpl w:val="358C83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6506C"/>
    <w:multiLevelType w:val="hybridMultilevel"/>
    <w:tmpl w:val="266089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87A78"/>
    <w:multiLevelType w:val="hybridMultilevel"/>
    <w:tmpl w:val="74E4CE1C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C031B3"/>
    <w:multiLevelType w:val="hybridMultilevel"/>
    <w:tmpl w:val="8FF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B0AD5"/>
    <w:multiLevelType w:val="hybridMultilevel"/>
    <w:tmpl w:val="62F27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E074F"/>
    <w:multiLevelType w:val="hybridMultilevel"/>
    <w:tmpl w:val="3A44C290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431C8"/>
    <w:multiLevelType w:val="hybridMultilevel"/>
    <w:tmpl w:val="EAB266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6E3DF3"/>
    <w:multiLevelType w:val="hybridMultilevel"/>
    <w:tmpl w:val="9754FA9A"/>
    <w:lvl w:ilvl="0" w:tplc="67DA711C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7630097"/>
    <w:multiLevelType w:val="hybridMultilevel"/>
    <w:tmpl w:val="7936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0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</w:num>
  <w:num w:numId="15">
    <w:abstractNumId w:val="1"/>
  </w:num>
  <w:num w:numId="16">
    <w:abstractNumId w:val="6"/>
  </w:num>
  <w:num w:numId="17">
    <w:abstractNumId w:val="1"/>
  </w:num>
  <w:num w:numId="18">
    <w:abstractNumId w:val="1"/>
  </w:num>
  <w:num w:numId="19">
    <w:abstractNumId w:val="1"/>
  </w:num>
  <w:num w:numId="2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03,#a5002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0D"/>
    <w:rsid w:val="00012697"/>
    <w:rsid w:val="00027592"/>
    <w:rsid w:val="00040013"/>
    <w:rsid w:val="00042BA5"/>
    <w:rsid w:val="000456F1"/>
    <w:rsid w:val="00054B83"/>
    <w:rsid w:val="000C27D4"/>
    <w:rsid w:val="0012570F"/>
    <w:rsid w:val="00143C11"/>
    <w:rsid w:val="0015670B"/>
    <w:rsid w:val="001A7104"/>
    <w:rsid w:val="001C4719"/>
    <w:rsid w:val="001D33E2"/>
    <w:rsid w:val="001F5686"/>
    <w:rsid w:val="0024033F"/>
    <w:rsid w:val="00271468"/>
    <w:rsid w:val="002F3432"/>
    <w:rsid w:val="00314DAA"/>
    <w:rsid w:val="00317EE7"/>
    <w:rsid w:val="0034051C"/>
    <w:rsid w:val="003A28AD"/>
    <w:rsid w:val="00421236"/>
    <w:rsid w:val="0047454B"/>
    <w:rsid w:val="004D5D1C"/>
    <w:rsid w:val="004E2DCA"/>
    <w:rsid w:val="005257A3"/>
    <w:rsid w:val="00577ED3"/>
    <w:rsid w:val="005B784C"/>
    <w:rsid w:val="005C003F"/>
    <w:rsid w:val="006015F8"/>
    <w:rsid w:val="00692334"/>
    <w:rsid w:val="006E50DB"/>
    <w:rsid w:val="006E72B8"/>
    <w:rsid w:val="00784E21"/>
    <w:rsid w:val="007A5F1F"/>
    <w:rsid w:val="00821828"/>
    <w:rsid w:val="008253F8"/>
    <w:rsid w:val="00862A50"/>
    <w:rsid w:val="008B6A52"/>
    <w:rsid w:val="008C38EA"/>
    <w:rsid w:val="0091522F"/>
    <w:rsid w:val="00922B0D"/>
    <w:rsid w:val="009346A3"/>
    <w:rsid w:val="00976C33"/>
    <w:rsid w:val="009A6404"/>
    <w:rsid w:val="00A804F3"/>
    <w:rsid w:val="00A8126C"/>
    <w:rsid w:val="00A968E7"/>
    <w:rsid w:val="00AC1DDC"/>
    <w:rsid w:val="00AD5391"/>
    <w:rsid w:val="00B606AA"/>
    <w:rsid w:val="00B63DB4"/>
    <w:rsid w:val="00B92D13"/>
    <w:rsid w:val="00BB52BF"/>
    <w:rsid w:val="00BE02D1"/>
    <w:rsid w:val="00C513EB"/>
    <w:rsid w:val="00C538A6"/>
    <w:rsid w:val="00C748B1"/>
    <w:rsid w:val="00C963D1"/>
    <w:rsid w:val="00CA09A8"/>
    <w:rsid w:val="00CB022B"/>
    <w:rsid w:val="00CB0829"/>
    <w:rsid w:val="00CC5926"/>
    <w:rsid w:val="00DA481A"/>
    <w:rsid w:val="00DC7313"/>
    <w:rsid w:val="00DD15F1"/>
    <w:rsid w:val="00DF7E8A"/>
    <w:rsid w:val="00E06D69"/>
    <w:rsid w:val="00E36310"/>
    <w:rsid w:val="00E4019F"/>
    <w:rsid w:val="00E754CC"/>
    <w:rsid w:val="00E758A3"/>
    <w:rsid w:val="00E97FCE"/>
    <w:rsid w:val="00EC5EC5"/>
    <w:rsid w:val="00EF562B"/>
    <w:rsid w:val="00F11B11"/>
    <w:rsid w:val="00F31C21"/>
    <w:rsid w:val="00F43B36"/>
    <w:rsid w:val="00FE098C"/>
    <w:rsid w:val="00FF1FFC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3,#a50021"/>
    </o:shapedefaults>
    <o:shapelayout v:ext="edit">
      <o:idmap v:ext="edit" data="1"/>
    </o:shapelayout>
  </w:shapeDefaults>
  <w:decimalSymbol w:val="."/>
  <w:listSeparator w:val=","/>
  <w14:docId w14:val="001C5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3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sz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&lt;  Paragraph&gt;"/>
    <w:basedOn w:val="Normal"/>
    <w:pPr>
      <w:spacing w:before="100" w:after="60" w:line="260" w:lineRule="exact"/>
    </w:pPr>
    <w:rPr>
      <w:lang w:val="de-D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both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jc w:val="center"/>
    </w:pPr>
    <w:rPr>
      <w:i/>
      <w:sz w:val="16"/>
    </w:rPr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spacing w:after="120"/>
      <w:ind w:left="2880"/>
    </w:pPr>
    <w:rPr>
      <w:rFonts w:ascii="Times New Roman" w:hAnsi="Times New Roman"/>
      <w:b/>
      <w:color w:val="FF0000"/>
    </w:rPr>
  </w:style>
  <w:style w:type="paragraph" w:styleId="BodyTextIndent2">
    <w:name w:val="Body Text Indent 2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3">
    <w:name w:val="Body Text Indent 3"/>
    <w:basedOn w:val="Normal"/>
    <w:pPr>
      <w:ind w:left="1473"/>
    </w:pPr>
    <w:rPr>
      <w:sz w:val="16"/>
    </w:rPr>
  </w:style>
  <w:style w:type="table" w:styleId="TableGrid">
    <w:name w:val="Table Grid"/>
    <w:basedOn w:val="TableNormal"/>
    <w:rsid w:val="00922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next w:val="Normal"/>
    <w:link w:val="Style3Char"/>
    <w:rsid w:val="00922B0D"/>
    <w:pPr>
      <w:spacing w:before="240" w:after="240"/>
      <w:outlineLvl w:val="1"/>
    </w:pPr>
    <w:rPr>
      <w:rFonts w:ascii="Verdana" w:eastAsia="Calibri" w:hAnsi="Verdana"/>
      <w:szCs w:val="22"/>
    </w:rPr>
  </w:style>
  <w:style w:type="paragraph" w:styleId="NoSpacing">
    <w:name w:val="No Spacing"/>
    <w:uiPriority w:val="1"/>
    <w:qFormat/>
    <w:rsid w:val="00922B0D"/>
    <w:rPr>
      <w:rFonts w:ascii="Calibri" w:eastAsia="Calibri" w:hAnsi="Calibri"/>
      <w:sz w:val="22"/>
      <w:szCs w:val="22"/>
      <w:lang w:eastAsia="en-US"/>
    </w:rPr>
  </w:style>
  <w:style w:type="character" w:customStyle="1" w:styleId="Style3Char">
    <w:name w:val="Style3 Char"/>
    <w:link w:val="Style3"/>
    <w:rsid w:val="00922B0D"/>
    <w:rPr>
      <w:rFonts w:ascii="Verdana" w:eastAsia="Calibri" w:hAnsi="Verdana"/>
      <w:szCs w:val="22"/>
      <w:lang w:eastAsia="en-US"/>
    </w:rPr>
  </w:style>
  <w:style w:type="character" w:customStyle="1" w:styleId="Heading1Char">
    <w:name w:val="Heading 1 Char"/>
    <w:link w:val="Heading1"/>
    <w:rsid w:val="00C538A6"/>
    <w:rPr>
      <w:rFonts w:ascii="Arial" w:hAnsi="Arial"/>
      <w:b/>
      <w:kern w:val="28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B63DB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F5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562B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346A3"/>
    <w:rPr>
      <w:rFonts w:ascii="Arial" w:hAnsi="Arial"/>
      <w:lang w:val="en-US" w:eastAsia="en-US"/>
    </w:rPr>
  </w:style>
  <w:style w:type="character" w:styleId="Hyperlink">
    <w:name w:val="Hyperlink"/>
    <w:basedOn w:val="DefaultParagraphFont"/>
    <w:unhideWhenUsed/>
    <w:rsid w:val="001D33E2"/>
    <w:rPr>
      <w:color w:val="0000FF" w:themeColor="hyperlink"/>
      <w:u w:val="single"/>
    </w:rPr>
  </w:style>
  <w:style w:type="character" w:customStyle="1" w:styleId="Heading2Char">
    <w:name w:val="Heading 2 Char"/>
    <w:link w:val="Heading2"/>
    <w:rsid w:val="008B6A52"/>
    <w:rPr>
      <w:rFonts w:ascii="Arial" w:hAnsi="Arial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2019-03-29T17:24:00Z</dcterms:created>
  <dcterms:modified xsi:type="dcterms:W3CDTF">2019-05-28T17:44:00Z</dcterms:modified>
</cp:coreProperties>
</file>