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8591" w14:textId="77777777" w:rsidR="00D203DC" w:rsidRDefault="00D203DC">
      <w:bookmarkStart w:id="0" w:name="_GoBack"/>
      <w:bookmarkEnd w:id="0"/>
    </w:p>
    <w:p w14:paraId="2821C1DA" w14:textId="77777777" w:rsidR="00172941" w:rsidRDefault="00172941"/>
    <w:p w14:paraId="3216882F" w14:textId="77777777" w:rsidR="00D203DC" w:rsidRDefault="00D203DC"/>
    <w:p w14:paraId="25735190" w14:textId="77777777" w:rsidR="00D203DC" w:rsidRDefault="00D203DC"/>
    <w:p w14:paraId="540CB6A9" w14:textId="77777777" w:rsidR="00D203DC" w:rsidRDefault="00D203DC"/>
    <w:p w14:paraId="06C857D3" w14:textId="77777777" w:rsidR="00D203DC" w:rsidRDefault="00D203DC"/>
    <w:p w14:paraId="4EDDF8BE" w14:textId="77777777" w:rsidR="00D203DC" w:rsidRDefault="00D203DC"/>
    <w:p w14:paraId="349C689E" w14:textId="77777777" w:rsidR="00D203DC" w:rsidRDefault="00D203DC"/>
    <w:p w14:paraId="6F6635D6" w14:textId="77777777" w:rsidR="00D203DC" w:rsidRDefault="00D203DC"/>
    <w:p w14:paraId="3F2C34AD" w14:textId="77777777" w:rsidR="00D203DC" w:rsidRDefault="00D203DC"/>
    <w:p w14:paraId="1DED93E9" w14:textId="77777777" w:rsidR="00D203DC" w:rsidRDefault="00D203DC"/>
    <w:p w14:paraId="3E501AED" w14:textId="77777777" w:rsidR="00D203DC" w:rsidRDefault="00D203DC"/>
    <w:p w14:paraId="2225C24D" w14:textId="77777777" w:rsidR="00D203DC" w:rsidRDefault="00D203DC"/>
    <w:p w14:paraId="1D9BD366" w14:textId="77777777" w:rsidR="00D203DC" w:rsidRDefault="00D203DC"/>
    <w:p w14:paraId="7E09B835" w14:textId="77777777" w:rsidR="00D203DC" w:rsidRDefault="00D203DC"/>
    <w:p w14:paraId="55ECC662" w14:textId="77777777" w:rsidR="00D203DC" w:rsidRDefault="00D203DC"/>
    <w:p w14:paraId="778384A0" w14:textId="77777777" w:rsidR="00D203DC" w:rsidRDefault="00D203DC"/>
    <w:p w14:paraId="0B83E4F7" w14:textId="77777777" w:rsidR="00D203DC" w:rsidRDefault="00D203DC"/>
    <w:p w14:paraId="5DF38E80" w14:textId="77777777" w:rsidR="00922CDA" w:rsidRDefault="00764DD7" w:rsidP="00604C5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ISMS </w:t>
      </w:r>
      <w:r w:rsidR="003127BE">
        <w:rPr>
          <w:b/>
          <w:sz w:val="40"/>
          <w:szCs w:val="40"/>
        </w:rPr>
        <w:t>Objectives</w:t>
      </w:r>
    </w:p>
    <w:p w14:paraId="63AEBC3C" w14:textId="77777777" w:rsidR="00604C56" w:rsidRPr="00604C56" w:rsidRDefault="00604C56" w:rsidP="00604C56">
      <w:pPr>
        <w:rPr>
          <w:b/>
          <w:sz w:val="40"/>
          <w:szCs w:val="40"/>
        </w:rPr>
      </w:pPr>
      <w:r w:rsidRPr="00604C56">
        <w:rPr>
          <w:b/>
          <w:sz w:val="40"/>
          <w:szCs w:val="40"/>
        </w:rPr>
        <w:t>Doc</w:t>
      </w:r>
      <w:r w:rsidR="00165D74">
        <w:rPr>
          <w:b/>
          <w:sz w:val="40"/>
          <w:szCs w:val="40"/>
        </w:rPr>
        <w:t xml:space="preserve"> A5.1</w:t>
      </w:r>
    </w:p>
    <w:p w14:paraId="41782DAD" w14:textId="77777777" w:rsidR="00D203DC" w:rsidRPr="00604C56" w:rsidRDefault="00D203DC">
      <w:pPr>
        <w:rPr>
          <w:sz w:val="28"/>
          <w:szCs w:val="28"/>
        </w:rPr>
      </w:pPr>
    </w:p>
    <w:p w14:paraId="3A7D248F" w14:textId="77777777" w:rsidR="00D203DC" w:rsidRDefault="00D203DC"/>
    <w:p w14:paraId="6DF04C33" w14:textId="77777777" w:rsidR="00D203DC" w:rsidRDefault="00D203DC"/>
    <w:p w14:paraId="36A840F5" w14:textId="77777777" w:rsidR="00D203DC" w:rsidRDefault="00D203DC"/>
    <w:p w14:paraId="6FD0B75D" w14:textId="77777777" w:rsidR="00D203DC" w:rsidRDefault="00D203DC"/>
    <w:p w14:paraId="35176C1D" w14:textId="77777777" w:rsidR="00D203DC" w:rsidRDefault="00D203DC"/>
    <w:p w14:paraId="5E9B5BCA" w14:textId="77777777" w:rsidR="00D203DC" w:rsidRDefault="00D203DC"/>
    <w:p w14:paraId="091D4AA0" w14:textId="77777777" w:rsidR="00D203DC" w:rsidRDefault="00D203DC"/>
    <w:p w14:paraId="43C4815D" w14:textId="77777777" w:rsidR="00D203DC" w:rsidRDefault="00D203DC"/>
    <w:p w14:paraId="64A3B130" w14:textId="77777777" w:rsidR="00D203DC" w:rsidRDefault="00D203DC"/>
    <w:p w14:paraId="76D1678F" w14:textId="77777777" w:rsidR="00D203DC" w:rsidRDefault="00D203DC"/>
    <w:p w14:paraId="5A7ED315" w14:textId="77777777" w:rsidR="00D203DC" w:rsidRDefault="00D203DC"/>
    <w:p w14:paraId="4E74A977" w14:textId="77777777" w:rsidR="00D203DC" w:rsidRDefault="00D203DC"/>
    <w:p w14:paraId="6C961617" w14:textId="77777777" w:rsidR="00D203DC" w:rsidRDefault="00D203DC"/>
    <w:p w14:paraId="54DA64B8" w14:textId="77777777" w:rsidR="00D203DC" w:rsidRDefault="00D203DC"/>
    <w:p w14:paraId="5956C421" w14:textId="77777777" w:rsidR="00D203DC" w:rsidRDefault="00D203DC"/>
    <w:p w14:paraId="70AF054B" w14:textId="77777777" w:rsidR="00D203DC" w:rsidRDefault="00D203DC">
      <w:pPr>
        <w:spacing w:after="120"/>
        <w:rPr>
          <w:b/>
          <w:sz w:val="30"/>
        </w:rPr>
      </w:pPr>
      <w:bookmarkStart w:id="1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1"/>
      <w:r w:rsidR="00E515ED">
        <w:rPr>
          <w:b/>
          <w:sz w:val="30"/>
        </w:rPr>
        <w:tab/>
      </w:r>
      <w:r w:rsidR="00471475">
        <w:rPr>
          <w:b/>
          <w:sz w:val="30"/>
        </w:rPr>
        <w:t>1.</w:t>
      </w:r>
      <w:r w:rsidR="00621232">
        <w:rPr>
          <w:b/>
          <w:sz w:val="30"/>
        </w:rPr>
        <w:t>0</w:t>
      </w:r>
    </w:p>
    <w:p w14:paraId="056B1040" w14:textId="77777777" w:rsidR="00621232" w:rsidRDefault="00621232">
      <w:pPr>
        <w:rPr>
          <w:sz w:val="28"/>
        </w:rPr>
      </w:pPr>
    </w:p>
    <w:p w14:paraId="775B206B" w14:textId="77777777" w:rsidR="00621232" w:rsidRDefault="00621232" w:rsidP="00621232">
      <w:pPr>
        <w:spacing w:after="120"/>
        <w:rPr>
          <w:sz w:val="28"/>
        </w:rPr>
      </w:pPr>
      <w:r>
        <w:rPr>
          <w:sz w:val="28"/>
        </w:rPr>
        <w:t>Publication Date:</w:t>
      </w:r>
      <w:r>
        <w:rPr>
          <w:sz w:val="28"/>
        </w:rPr>
        <w:tab/>
      </w:r>
      <w:r>
        <w:rPr>
          <w:sz w:val="28"/>
        </w:rPr>
        <w:tab/>
        <w:t>January 01, 2019</w:t>
      </w:r>
    </w:p>
    <w:p w14:paraId="7DF79969" w14:textId="77777777" w:rsidR="00621232" w:rsidRDefault="00621232" w:rsidP="00621232">
      <w:pPr>
        <w:spacing w:after="12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</w:r>
      <w:r>
        <w:rPr>
          <w:sz w:val="28"/>
        </w:rPr>
        <w:tab/>
        <w:t>Published</w:t>
      </w:r>
    </w:p>
    <w:p w14:paraId="1EC54AC1" w14:textId="77777777" w:rsidR="00621232" w:rsidRDefault="00621232" w:rsidP="00621232">
      <w:pPr>
        <w:spacing w:after="12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Michael Woolard</w:t>
      </w:r>
    </w:p>
    <w:p w14:paraId="11D1A076" w14:textId="77777777" w:rsidR="00621232" w:rsidRPr="001A41C1" w:rsidRDefault="00621232" w:rsidP="00621232">
      <w:pPr>
        <w:ind w:left="2880" w:hanging="2880"/>
        <w:rPr>
          <w:sz w:val="28"/>
        </w:rPr>
      </w:pPr>
      <w:r>
        <w:rPr>
          <w:sz w:val="28"/>
        </w:rPr>
        <w:t>Last Reviewed:</w:t>
      </w:r>
      <w:r>
        <w:rPr>
          <w:sz w:val="28"/>
        </w:rPr>
        <w:tab/>
        <w:t>Michael Woolard</w:t>
      </w:r>
    </w:p>
    <w:p w14:paraId="32059A3F" w14:textId="77777777" w:rsidR="00D203DC" w:rsidRDefault="00CD30D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F80A3E" wp14:editId="67ADA039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Picture 2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6AD34" id="Picture 2" o:spid="_x0000_s1026" alt="Basic Document Template 2008 Footer 1" style="position:absolute;margin-left:-.05pt;margin-top:.2pt;width:415.5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" filled="f" stroked="f">
                <o:lock v:ext="edit" aspectratio="t"/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E8914A" wp14:editId="171A6A8C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Picture 1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A6F5F" id="Picture 1" o:spid="_x0000_s1026" alt="Basic Document Template 2008 Footer 1" style="position:absolute;margin-left:-.05pt;margin-top:.2pt;width:415.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" filled="f" stroked="f">
                <o:lock v:ext="edit" aspectratio="t"/>
                <w10:wrap type="tight"/>
              </v:rect>
            </w:pict>
          </mc:Fallback>
        </mc:AlternateContent>
      </w:r>
      <w:r w:rsidR="00D203DC">
        <w:br w:type="page"/>
      </w:r>
    </w:p>
    <w:p w14:paraId="1BFB3263" w14:textId="77777777" w:rsidR="001A088E" w:rsidRDefault="00085C9C" w:rsidP="00C872BA">
      <w:pPr>
        <w:rPr>
          <w:b/>
          <w:sz w:val="34"/>
        </w:rPr>
      </w:pPr>
      <w:r>
        <w:rPr>
          <w:b/>
          <w:sz w:val="34"/>
        </w:rPr>
        <w:lastRenderedPageBreak/>
        <w:t>Table of Contents</w:t>
      </w:r>
    </w:p>
    <w:p w14:paraId="0EC8CF18" w14:textId="77777777" w:rsidR="009F5FD4" w:rsidRPr="006063A1" w:rsidRDefault="00D203DC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90E75">
        <w:rPr>
          <w:rFonts w:ascii="Arial" w:hAnsi="Arial" w:cs="Arial"/>
          <w:b w:val="0"/>
          <w:sz w:val="34"/>
        </w:rPr>
        <w:fldChar w:fldCharType="begin"/>
      </w:r>
      <w:r w:rsidRPr="00C90E75">
        <w:rPr>
          <w:rFonts w:ascii="Arial" w:hAnsi="Arial" w:cs="Arial"/>
          <w:b w:val="0"/>
          <w:sz w:val="34"/>
        </w:rPr>
        <w:instrText xml:space="preserve"> TOC \o "1-4" </w:instrText>
      </w:r>
      <w:r w:rsidRPr="00C90E75">
        <w:rPr>
          <w:rFonts w:ascii="Arial" w:hAnsi="Arial" w:cs="Arial"/>
          <w:b w:val="0"/>
          <w:sz w:val="34"/>
        </w:rPr>
        <w:fldChar w:fldCharType="separate"/>
      </w:r>
      <w:r w:rsidR="009F5FD4">
        <w:rPr>
          <w:noProof/>
        </w:rPr>
        <w:t>1</w:t>
      </w:r>
      <w:r w:rsidR="009F5FD4" w:rsidRPr="006063A1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9F5FD4">
        <w:rPr>
          <w:noProof/>
        </w:rPr>
        <w:t>ISMS Objectives</w:t>
      </w:r>
      <w:r w:rsidR="009F5FD4">
        <w:rPr>
          <w:noProof/>
        </w:rPr>
        <w:tab/>
      </w:r>
      <w:r w:rsidR="009F5FD4">
        <w:rPr>
          <w:noProof/>
        </w:rPr>
        <w:fldChar w:fldCharType="begin"/>
      </w:r>
      <w:r w:rsidR="009F5FD4">
        <w:rPr>
          <w:noProof/>
        </w:rPr>
        <w:instrText xml:space="preserve"> PAGEREF _Toc530139163 \h </w:instrText>
      </w:r>
      <w:r w:rsidR="009F5FD4">
        <w:rPr>
          <w:noProof/>
        </w:rPr>
      </w:r>
      <w:r w:rsidR="009F5FD4">
        <w:rPr>
          <w:noProof/>
        </w:rPr>
        <w:fldChar w:fldCharType="separate"/>
      </w:r>
      <w:r w:rsidR="009F5FD4">
        <w:rPr>
          <w:noProof/>
        </w:rPr>
        <w:t>3</w:t>
      </w:r>
      <w:r w:rsidR="009F5FD4">
        <w:rPr>
          <w:noProof/>
        </w:rPr>
        <w:fldChar w:fldCharType="end"/>
      </w:r>
    </w:p>
    <w:p w14:paraId="48BD7800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1.1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B17F41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1.2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6B9FA0" w14:textId="77777777" w:rsidR="009F5FD4" w:rsidRPr="006063A1" w:rsidRDefault="009F5FD4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6063A1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D7B41D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2.1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Information Security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258117" w14:textId="77777777" w:rsidR="009F5FD4" w:rsidRPr="006063A1" w:rsidRDefault="009F5FD4">
      <w:pPr>
        <w:pStyle w:val="TOC3"/>
        <w:tabs>
          <w:tab w:val="left" w:pos="1200"/>
          <w:tab w:val="right" w:leader="dot" w:pos="8305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2.1.1</w:t>
      </w:r>
      <w:r w:rsidRPr="006063A1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Objectives and measures for ISMS implementation and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D65746" w14:textId="77777777" w:rsidR="009F5FD4" w:rsidRPr="006063A1" w:rsidRDefault="009F5F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 w:rsidRPr="00EC64F4">
        <w:rPr>
          <w:rFonts w:eastAsia="Calibri"/>
          <w:noProof/>
        </w:rPr>
        <w:t>2.1.1.1</w:t>
      </w:r>
      <w:r w:rsidRPr="006063A1">
        <w:rPr>
          <w:rFonts w:ascii="Calibri" w:hAnsi="Calibri"/>
          <w:noProof/>
          <w:sz w:val="22"/>
          <w:szCs w:val="22"/>
        </w:rPr>
        <w:tab/>
      </w:r>
      <w:r w:rsidRPr="00EC64F4">
        <w:rPr>
          <w:rFonts w:eastAsia="Calibri"/>
          <w:noProof/>
        </w:rPr>
        <w:t>Compliance with ISO 27001:2013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DF0574" w14:textId="77777777" w:rsidR="009F5FD4" w:rsidRPr="006063A1" w:rsidRDefault="009F5F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 w:rsidRPr="00EC64F4">
        <w:rPr>
          <w:rFonts w:eastAsia="Calibri"/>
          <w:noProof/>
        </w:rPr>
        <w:t>2.1.1.2</w:t>
      </w:r>
      <w:r w:rsidRPr="006063A1">
        <w:rPr>
          <w:rFonts w:ascii="Calibri" w:hAnsi="Calibri"/>
          <w:noProof/>
          <w:sz w:val="22"/>
          <w:szCs w:val="22"/>
        </w:rPr>
        <w:tab/>
      </w:r>
      <w:r w:rsidRPr="00EC64F4">
        <w:rPr>
          <w:rFonts w:eastAsia="Calibri"/>
          <w:noProof/>
        </w:rPr>
        <w:t>Completion of scheduled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E0F1A2" w14:textId="77777777" w:rsidR="009F5FD4" w:rsidRPr="006063A1" w:rsidRDefault="009F5F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2.1.1.3</w:t>
      </w:r>
      <w:r w:rsidRPr="006063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Improvement of ISMS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A29A11" w14:textId="77777777" w:rsidR="009F5FD4" w:rsidRPr="006063A1" w:rsidRDefault="009F5F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2.1.1.4</w:t>
      </w:r>
      <w:r w:rsidRPr="006063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Awareness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FD29DC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2.2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Objectives and measures for ISMS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BB2CA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2.3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Additional Objectives and measures for ISMS Risk Treatment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6CF5E" w14:textId="77777777" w:rsidR="009F5FD4" w:rsidRPr="006063A1" w:rsidRDefault="009F5FD4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6063A1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 Control and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8E16C5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3.1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0C8AAA" w14:textId="77777777" w:rsidR="009F5FD4" w:rsidRPr="006063A1" w:rsidRDefault="009F5FD4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3.2</w:t>
      </w:r>
      <w:r w:rsidRPr="006063A1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_Toc530139177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30626B" w14:textId="77777777" w:rsidR="00D203DC" w:rsidRPr="00AC0DF5" w:rsidRDefault="00D203DC">
      <w:pPr>
        <w:jc w:val="center"/>
        <w:rPr>
          <w:b/>
          <w:sz w:val="34"/>
          <w:lang w:val="fr-FR"/>
        </w:rPr>
      </w:pPr>
      <w:r w:rsidRPr="00C90E75">
        <w:rPr>
          <w:rFonts w:cs="Arial"/>
          <w:b/>
          <w:sz w:val="34"/>
        </w:rPr>
        <w:fldChar w:fldCharType="end"/>
      </w:r>
    </w:p>
    <w:p w14:paraId="643C615C" w14:textId="77777777" w:rsidR="00D203DC" w:rsidRPr="00AC0DF5" w:rsidRDefault="00D203DC">
      <w:pPr>
        <w:jc w:val="center"/>
        <w:rPr>
          <w:b/>
          <w:sz w:val="34"/>
          <w:lang w:val="fr-FR"/>
        </w:rPr>
      </w:pPr>
    </w:p>
    <w:p w14:paraId="7B6FF2FD" w14:textId="77777777" w:rsidR="00D203DC" w:rsidRDefault="00D203DC"/>
    <w:p w14:paraId="10C9DBAF" w14:textId="77777777" w:rsidR="00F7264F" w:rsidRDefault="0080149D" w:rsidP="0080149D">
      <w:pPr>
        <w:pStyle w:val="Heading1"/>
        <w:numPr>
          <w:ilvl w:val="0"/>
          <w:numId w:val="0"/>
        </w:numPr>
        <w:tabs>
          <w:tab w:val="left" w:pos="1980"/>
        </w:tabs>
        <w:ind w:left="432"/>
      </w:pPr>
      <w:r>
        <w:tab/>
      </w:r>
    </w:p>
    <w:p w14:paraId="2AFD8126" w14:textId="77777777" w:rsidR="00F7264F" w:rsidRPr="00F7264F" w:rsidRDefault="00F7264F" w:rsidP="00F7264F"/>
    <w:p w14:paraId="5A504799" w14:textId="77777777" w:rsidR="00F7264F" w:rsidRPr="00F7264F" w:rsidRDefault="00F7264F" w:rsidP="00F7264F"/>
    <w:p w14:paraId="54D7ACA5" w14:textId="77777777" w:rsidR="00F7264F" w:rsidRPr="00F7264F" w:rsidRDefault="00F7264F" w:rsidP="00F7264F"/>
    <w:p w14:paraId="71071DA4" w14:textId="77777777" w:rsidR="00F7264F" w:rsidRPr="00F7264F" w:rsidRDefault="00F7264F" w:rsidP="000E6E1F">
      <w:pPr>
        <w:jc w:val="center"/>
      </w:pPr>
    </w:p>
    <w:p w14:paraId="39090567" w14:textId="77777777" w:rsidR="00F7264F" w:rsidRPr="00F7264F" w:rsidRDefault="00F7264F" w:rsidP="00F7264F"/>
    <w:p w14:paraId="2A211EC1" w14:textId="77777777" w:rsidR="00F7264F" w:rsidRPr="00F7264F" w:rsidRDefault="00F7264F" w:rsidP="00F7264F"/>
    <w:p w14:paraId="53A59FE3" w14:textId="77777777" w:rsidR="00F7264F" w:rsidRPr="00F7264F" w:rsidRDefault="00F7264F" w:rsidP="00F7264F"/>
    <w:p w14:paraId="13F3B623" w14:textId="77777777" w:rsidR="00F7264F" w:rsidRPr="00F7264F" w:rsidRDefault="00F7264F" w:rsidP="00F7264F"/>
    <w:p w14:paraId="079F1B0F" w14:textId="77777777" w:rsidR="00F7264F" w:rsidRPr="00F7264F" w:rsidRDefault="00F7264F" w:rsidP="00F7264F"/>
    <w:p w14:paraId="7DDDC6B8" w14:textId="77777777" w:rsidR="00F7264F" w:rsidRPr="00F7264F" w:rsidRDefault="00F7264F" w:rsidP="00F7264F"/>
    <w:p w14:paraId="401D6A7E" w14:textId="77777777" w:rsidR="00F7376E" w:rsidRDefault="00604C56" w:rsidP="00604C56">
      <w:pPr>
        <w:pStyle w:val="Heading1"/>
      </w:pPr>
      <w:r w:rsidRPr="00F7264F">
        <w:br w:type="page"/>
      </w:r>
      <w:bookmarkStart w:id="2" w:name="_Toc530139163"/>
      <w:r w:rsidR="0031274B">
        <w:lastRenderedPageBreak/>
        <w:t>ISMS O</w:t>
      </w:r>
      <w:r w:rsidR="003127BE">
        <w:t>bjectives</w:t>
      </w:r>
      <w:bookmarkEnd w:id="2"/>
      <w:r>
        <w:tab/>
      </w:r>
    </w:p>
    <w:p w14:paraId="438B421C" w14:textId="77777777" w:rsidR="00604C56" w:rsidRDefault="00A13023" w:rsidP="00F7376E">
      <w:pPr>
        <w:pStyle w:val="Heading2"/>
      </w:pPr>
      <w:bookmarkStart w:id="3" w:name="_Toc530139164"/>
      <w:r>
        <w:t>Scope</w:t>
      </w:r>
      <w:bookmarkEnd w:id="3"/>
    </w:p>
    <w:p w14:paraId="5073F9F2" w14:textId="77777777" w:rsidR="00604C56" w:rsidRDefault="00604C56" w:rsidP="00604C56">
      <w:pPr>
        <w:jc w:val="both"/>
        <w:rPr>
          <w:sz w:val="22"/>
        </w:rPr>
      </w:pPr>
    </w:p>
    <w:p w14:paraId="0C48A796" w14:textId="77777777" w:rsidR="003127BE" w:rsidRPr="003127BE" w:rsidRDefault="003127BE" w:rsidP="003127BE">
      <w:pPr>
        <w:rPr>
          <w:rFonts w:cs="Arial"/>
        </w:rPr>
      </w:pPr>
      <w:r w:rsidRPr="003127BE">
        <w:rPr>
          <w:rFonts w:cs="Arial"/>
        </w:rPr>
        <w:t xml:space="preserve">This document sets out </w:t>
      </w:r>
      <w:r w:rsidR="00621232">
        <w:rPr>
          <w:rFonts w:cs="Arial"/>
        </w:rPr>
        <w:t xml:space="preserve">Wacky </w:t>
      </w:r>
      <w:proofErr w:type="spellStart"/>
      <w:r w:rsidR="00621232">
        <w:rPr>
          <w:rFonts w:cs="Arial"/>
        </w:rPr>
        <w:t>Widgets</w:t>
      </w:r>
      <w:r w:rsidR="00085C9C">
        <w:rPr>
          <w:rFonts w:cs="Arial"/>
        </w:rPr>
        <w:t>’s</w:t>
      </w:r>
      <w:proofErr w:type="spellEnd"/>
      <w:r w:rsidRPr="003127BE">
        <w:rPr>
          <w:rFonts w:cs="Arial"/>
        </w:rPr>
        <w:t xml:space="preserve"> </w:t>
      </w:r>
      <w:r w:rsidR="00621232" w:rsidRPr="003127BE">
        <w:rPr>
          <w:rFonts w:cs="Arial"/>
        </w:rPr>
        <w:t>measurable</w:t>
      </w:r>
      <w:r w:rsidRPr="003127BE">
        <w:rPr>
          <w:rFonts w:cs="Arial"/>
        </w:rPr>
        <w:t xml:space="preserve"> objectives for information security.  These are used to provide management with information on the effectiveness of the ISMS.</w:t>
      </w:r>
    </w:p>
    <w:p w14:paraId="5A51E3D5" w14:textId="77777777" w:rsidR="00AF2F6E" w:rsidRPr="003127BE" w:rsidRDefault="00AF2F6E" w:rsidP="00AF2F6E">
      <w:pPr>
        <w:rPr>
          <w:rFonts w:cs="Arial"/>
        </w:rPr>
      </w:pPr>
    </w:p>
    <w:p w14:paraId="129E4104" w14:textId="77777777" w:rsidR="003127BE" w:rsidRPr="003127BE" w:rsidRDefault="003127BE" w:rsidP="003127BE">
      <w:pPr>
        <w:rPr>
          <w:rFonts w:cs="Arial"/>
        </w:rPr>
      </w:pPr>
      <w:r w:rsidRPr="003127BE">
        <w:rPr>
          <w:rFonts w:cs="Arial"/>
        </w:rPr>
        <w:t xml:space="preserve">All controls identified in the Statement of Applicability are within the scope of this procedure. </w:t>
      </w:r>
    </w:p>
    <w:p w14:paraId="5C30F9BD" w14:textId="77777777" w:rsidR="003127BE" w:rsidRDefault="003127BE" w:rsidP="00AF2F6E"/>
    <w:p w14:paraId="5DE9A5D8" w14:textId="77777777" w:rsidR="00025E07" w:rsidRPr="00025E07" w:rsidRDefault="000B4E02" w:rsidP="00F7376E">
      <w:pPr>
        <w:pStyle w:val="Heading2"/>
      </w:pPr>
      <w:bookmarkStart w:id="4" w:name="_Toc530139165"/>
      <w:r>
        <w:t>Responsibilities</w:t>
      </w:r>
      <w:bookmarkEnd w:id="4"/>
    </w:p>
    <w:p w14:paraId="678C35AB" w14:textId="77777777" w:rsidR="00BC5817" w:rsidRDefault="00BC5817" w:rsidP="00604C56">
      <w:pPr>
        <w:jc w:val="both"/>
      </w:pPr>
    </w:p>
    <w:p w14:paraId="08F3D809" w14:textId="77777777" w:rsidR="003127BE" w:rsidRDefault="003127BE" w:rsidP="0031274B">
      <w:pPr>
        <w:rPr>
          <w:rFonts w:cs="Arial"/>
        </w:rPr>
      </w:pPr>
      <w:r>
        <w:t xml:space="preserve">The </w:t>
      </w:r>
      <w:r w:rsidR="00621232">
        <w:t>Chief Information Security Officer</w:t>
      </w:r>
      <w:r>
        <w:t xml:space="preserve"> is responsible for ensuring that ISMS objectives are measured, and that results are reported for management review</w:t>
      </w:r>
      <w:r w:rsidRPr="0031274B">
        <w:rPr>
          <w:rFonts w:cs="Arial"/>
        </w:rPr>
        <w:t xml:space="preserve"> </w:t>
      </w:r>
    </w:p>
    <w:p w14:paraId="0DB38EDD" w14:textId="77777777" w:rsidR="0031274B" w:rsidRDefault="00A50DE5" w:rsidP="003127BE">
      <w:pPr>
        <w:pStyle w:val="Heading1"/>
      </w:pPr>
      <w:bookmarkStart w:id="5" w:name="_Toc301432341"/>
      <w:bookmarkStart w:id="6" w:name="_Toc301444720"/>
      <w:bookmarkStart w:id="7" w:name="_Toc301444974"/>
      <w:bookmarkStart w:id="8" w:name="_Toc301445175"/>
      <w:bookmarkStart w:id="9" w:name="_Toc301445818"/>
      <w:bookmarkStart w:id="10" w:name="_Toc302131094"/>
      <w:bookmarkStart w:id="11" w:name="_Toc302131340"/>
      <w:bookmarkStart w:id="12" w:name="_Toc302543432"/>
      <w:bookmarkStart w:id="13" w:name="_Toc302543496"/>
      <w:bookmarkStart w:id="14" w:name="_Toc302543560"/>
      <w:bookmarkStart w:id="15" w:name="_Toc302544464"/>
      <w:bookmarkStart w:id="16" w:name="_Toc302544962"/>
      <w:bookmarkStart w:id="17" w:name="_Toc302547921"/>
      <w:bookmarkStart w:id="18" w:name="_Toc302548451"/>
      <w:bookmarkStart w:id="19" w:name="_Toc302548518"/>
      <w:bookmarkStart w:id="20" w:name="_Toc302548733"/>
      <w:bookmarkStart w:id="21" w:name="_Toc302548802"/>
      <w:bookmarkStart w:id="22" w:name="_Toc302548910"/>
      <w:bookmarkStart w:id="23" w:name="_Toc302549837"/>
      <w:bookmarkStart w:id="24" w:name="_Toc302549909"/>
      <w:bookmarkStart w:id="25" w:name="_Toc302559951"/>
      <w:bookmarkStart w:id="26" w:name="_Toc302560023"/>
      <w:bookmarkStart w:id="27" w:name="_Toc302560095"/>
      <w:bookmarkStart w:id="28" w:name="_Toc302560167"/>
      <w:bookmarkStart w:id="29" w:name="_Toc302560239"/>
      <w:bookmarkStart w:id="30" w:name="_Toc302560342"/>
      <w:bookmarkStart w:id="31" w:name="_Toc302560456"/>
      <w:bookmarkStart w:id="32" w:name="_Toc302560596"/>
      <w:bookmarkStart w:id="33" w:name="_Toc302560667"/>
      <w:bookmarkStart w:id="34" w:name="_Toc302561285"/>
      <w:bookmarkStart w:id="35" w:name="_Toc302561387"/>
      <w:bookmarkStart w:id="36" w:name="_Toc302562515"/>
      <w:bookmarkStart w:id="37" w:name="_Toc302562879"/>
      <w:bookmarkStart w:id="38" w:name="_Toc302562954"/>
      <w:bookmarkStart w:id="39" w:name="_Toc302564271"/>
      <w:bookmarkStart w:id="40" w:name="_Toc302564348"/>
      <w:bookmarkStart w:id="41" w:name="_Toc302564463"/>
      <w:bookmarkStart w:id="42" w:name="_Toc302564879"/>
      <w:bookmarkStart w:id="43" w:name="_Toc303351565"/>
      <w:bookmarkStart w:id="44" w:name="_Toc303351685"/>
      <w:bookmarkStart w:id="45" w:name="_Toc303351762"/>
      <w:bookmarkStart w:id="46" w:name="_Toc303351839"/>
      <w:bookmarkStart w:id="47" w:name="_Toc303351916"/>
      <w:bookmarkStart w:id="48" w:name="_Toc303351993"/>
      <w:bookmarkStart w:id="49" w:name="_Toc303352070"/>
      <w:bookmarkStart w:id="50" w:name="_Toc303352147"/>
      <w:bookmarkStart w:id="51" w:name="_Toc303352223"/>
      <w:bookmarkStart w:id="52" w:name="_Toc303352299"/>
      <w:bookmarkStart w:id="53" w:name="_Toc303352375"/>
      <w:bookmarkStart w:id="54" w:name="_Toc303352451"/>
      <w:bookmarkStart w:id="55" w:name="_Toc304357774"/>
      <w:bookmarkStart w:id="56" w:name="_Toc304358136"/>
      <w:bookmarkStart w:id="57" w:name="_Toc304358448"/>
      <w:bookmarkStart w:id="58" w:name="_Toc304358955"/>
      <w:bookmarkStart w:id="59" w:name="_Toc312064349"/>
      <w:bookmarkStart w:id="60" w:name="_Toc312064445"/>
      <w:bookmarkStart w:id="61" w:name="_Toc312066018"/>
      <w:bookmarkStart w:id="62" w:name="_Toc312066100"/>
      <w:bookmarkStart w:id="63" w:name="_Toc312066274"/>
      <w:bookmarkStart w:id="64" w:name="_Toc312066356"/>
      <w:bookmarkStart w:id="65" w:name="_Toc312324356"/>
      <w:bookmarkStart w:id="66" w:name="_Toc312325629"/>
      <w:bookmarkStart w:id="67" w:name="_Toc312325901"/>
      <w:bookmarkStart w:id="68" w:name="_Toc312325983"/>
      <w:bookmarkStart w:id="69" w:name="_Toc301432342"/>
      <w:bookmarkStart w:id="70" w:name="_Toc301444721"/>
      <w:bookmarkStart w:id="71" w:name="_Toc301444975"/>
      <w:bookmarkStart w:id="72" w:name="_Toc301445176"/>
      <w:bookmarkStart w:id="73" w:name="_Toc301445819"/>
      <w:bookmarkStart w:id="74" w:name="_Toc302131095"/>
      <w:bookmarkStart w:id="75" w:name="_Toc302131341"/>
      <w:bookmarkStart w:id="76" w:name="_Toc302543433"/>
      <w:bookmarkStart w:id="77" w:name="_Toc302543497"/>
      <w:bookmarkStart w:id="78" w:name="_Toc302543561"/>
      <w:bookmarkStart w:id="79" w:name="_Toc302544465"/>
      <w:bookmarkStart w:id="80" w:name="_Toc302544963"/>
      <w:bookmarkStart w:id="81" w:name="_Toc302547922"/>
      <w:bookmarkStart w:id="82" w:name="_Toc302548452"/>
      <w:bookmarkStart w:id="83" w:name="_Toc302548519"/>
      <w:bookmarkStart w:id="84" w:name="_Toc302548734"/>
      <w:bookmarkStart w:id="85" w:name="_Toc302548803"/>
      <w:bookmarkStart w:id="86" w:name="_Toc302548911"/>
      <w:bookmarkStart w:id="87" w:name="_Toc302549838"/>
      <w:bookmarkStart w:id="88" w:name="_Toc302549910"/>
      <w:bookmarkStart w:id="89" w:name="_Toc302559952"/>
      <w:bookmarkStart w:id="90" w:name="_Toc302560024"/>
      <w:bookmarkStart w:id="91" w:name="_Toc302560096"/>
      <w:bookmarkStart w:id="92" w:name="_Toc302560168"/>
      <w:bookmarkStart w:id="93" w:name="_Toc302560240"/>
      <w:bookmarkStart w:id="94" w:name="_Toc302560343"/>
      <w:bookmarkStart w:id="95" w:name="_Toc302560457"/>
      <w:bookmarkStart w:id="96" w:name="_Toc302560597"/>
      <w:bookmarkStart w:id="97" w:name="_Toc302560668"/>
      <w:bookmarkStart w:id="98" w:name="_Toc302561286"/>
      <w:bookmarkStart w:id="99" w:name="_Toc302561388"/>
      <w:bookmarkStart w:id="100" w:name="_Toc302562516"/>
      <w:bookmarkStart w:id="101" w:name="_Toc302562880"/>
      <w:bookmarkStart w:id="102" w:name="_Toc302562955"/>
      <w:bookmarkStart w:id="103" w:name="_Toc302564272"/>
      <w:bookmarkStart w:id="104" w:name="_Toc302564349"/>
      <w:bookmarkStart w:id="105" w:name="_Toc302564464"/>
      <w:bookmarkStart w:id="106" w:name="_Toc302564880"/>
      <w:bookmarkStart w:id="107" w:name="_Toc303351566"/>
      <w:bookmarkStart w:id="108" w:name="_Toc303351686"/>
      <w:bookmarkStart w:id="109" w:name="_Toc303351763"/>
      <w:bookmarkStart w:id="110" w:name="_Toc303351840"/>
      <w:bookmarkStart w:id="111" w:name="_Toc303351917"/>
      <w:bookmarkStart w:id="112" w:name="_Toc303351994"/>
      <w:bookmarkStart w:id="113" w:name="_Toc303352071"/>
      <w:bookmarkStart w:id="114" w:name="_Toc303352148"/>
      <w:bookmarkStart w:id="115" w:name="_Toc303352224"/>
      <w:bookmarkStart w:id="116" w:name="_Toc303352300"/>
      <w:bookmarkStart w:id="117" w:name="_Toc303352376"/>
      <w:bookmarkStart w:id="118" w:name="_Toc303352452"/>
      <w:bookmarkStart w:id="119" w:name="_Toc304357775"/>
      <w:bookmarkStart w:id="120" w:name="_Toc304358137"/>
      <w:bookmarkStart w:id="121" w:name="_Toc304358449"/>
      <w:bookmarkStart w:id="122" w:name="_Toc304358956"/>
      <w:bookmarkStart w:id="123" w:name="_Toc312064350"/>
      <w:bookmarkStart w:id="124" w:name="_Toc312064446"/>
      <w:bookmarkStart w:id="125" w:name="_Toc312066019"/>
      <w:bookmarkStart w:id="126" w:name="_Toc312066101"/>
      <w:bookmarkStart w:id="127" w:name="_Toc312066275"/>
      <w:bookmarkStart w:id="128" w:name="_Toc312066357"/>
      <w:bookmarkStart w:id="129" w:name="_Toc312324357"/>
      <w:bookmarkStart w:id="130" w:name="_Toc312325630"/>
      <w:bookmarkStart w:id="131" w:name="_Toc312325902"/>
      <w:bookmarkStart w:id="132" w:name="_Toc312325984"/>
      <w:bookmarkStart w:id="133" w:name="_Toc53013916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t>Procedure</w:t>
      </w:r>
      <w:bookmarkEnd w:id="133"/>
    </w:p>
    <w:p w14:paraId="3C7C739A" w14:textId="77777777" w:rsidR="003127BE" w:rsidRPr="00F7376E" w:rsidRDefault="003127BE" w:rsidP="00F7376E">
      <w:pPr>
        <w:pStyle w:val="Heading2"/>
      </w:pPr>
      <w:bookmarkStart w:id="134" w:name="_Toc396825239"/>
      <w:bookmarkStart w:id="135" w:name="_Toc530139167"/>
      <w:r w:rsidRPr="00F7376E">
        <w:t>Information Security Objectives</w:t>
      </w:r>
      <w:bookmarkEnd w:id="134"/>
      <w:bookmarkEnd w:id="135"/>
    </w:p>
    <w:p w14:paraId="0D6BA115" w14:textId="77777777" w:rsidR="003127BE" w:rsidRDefault="003127BE" w:rsidP="003127BE">
      <w:pPr>
        <w:rPr>
          <w:rFonts w:ascii="Verdana" w:hAnsi="Verdana"/>
        </w:rPr>
      </w:pPr>
    </w:p>
    <w:p w14:paraId="750F56B3" w14:textId="77777777" w:rsidR="003127BE" w:rsidRPr="003127BE" w:rsidRDefault="003127BE" w:rsidP="003127BE">
      <w:r w:rsidRPr="003127BE">
        <w:t xml:space="preserve">Achievement of these objectives will be monitored and measured on </w:t>
      </w:r>
      <w:r w:rsidR="00863CAF">
        <w:t>a regular</w:t>
      </w:r>
      <w:r w:rsidRPr="003127BE">
        <w:t xml:space="preserve"> basis.  Measures to be used are bulleted below each objective.  All measurements are recorded on a</w:t>
      </w:r>
      <w:r w:rsidR="00311AD5">
        <w:t xml:space="preserve"> quarterly</w:t>
      </w:r>
      <w:r w:rsidRPr="003127BE">
        <w:t xml:space="preserve"> basis unless stated otherwise.</w:t>
      </w:r>
    </w:p>
    <w:p w14:paraId="687E1A72" w14:textId="77777777" w:rsidR="003127BE" w:rsidRPr="00F7376E" w:rsidRDefault="003127BE" w:rsidP="00B700CC">
      <w:pPr>
        <w:pStyle w:val="Heading3"/>
        <w:ind w:left="630" w:hanging="630"/>
      </w:pPr>
      <w:bookmarkStart w:id="136" w:name="_Toc530139168"/>
      <w:r w:rsidRPr="00F7376E">
        <w:t>Objectives and measures for ISMS implementation and maintenance</w:t>
      </w:r>
      <w:bookmarkEnd w:id="136"/>
    </w:p>
    <w:p w14:paraId="48C96659" w14:textId="77777777" w:rsidR="009E0F9C" w:rsidRPr="009E0F9C" w:rsidRDefault="009E0F9C" w:rsidP="00AF30EB">
      <w:pPr>
        <w:rPr>
          <w:b/>
          <w:i/>
          <w:sz w:val="16"/>
        </w:rPr>
      </w:pPr>
    </w:p>
    <w:tbl>
      <w:tblPr>
        <w:tblW w:w="781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"/>
        <w:gridCol w:w="461"/>
        <w:gridCol w:w="1080"/>
        <w:gridCol w:w="5903"/>
      </w:tblGrid>
      <w:tr w:rsidR="00AF30EB" w14:paraId="47F20679" w14:textId="77777777" w:rsidTr="00251051">
        <w:tc>
          <w:tcPr>
            <w:tcW w:w="7811" w:type="dxa"/>
            <w:gridSpan w:val="4"/>
            <w:shd w:val="clear" w:color="auto" w:fill="auto"/>
          </w:tcPr>
          <w:p w14:paraId="7168437D" w14:textId="77777777" w:rsidR="00AF30EB" w:rsidRPr="009834C7" w:rsidRDefault="00AF30EB" w:rsidP="00952629">
            <w:pPr>
              <w:pStyle w:val="Heading4"/>
              <w:rPr>
                <w:rFonts w:eastAsia="Calibri"/>
                <w:sz w:val="22"/>
              </w:rPr>
            </w:pPr>
            <w:bookmarkStart w:id="137" w:name="_Toc530139169"/>
            <w:r w:rsidRPr="00251051">
              <w:rPr>
                <w:rFonts w:eastAsia="Calibri"/>
              </w:rPr>
              <w:t>Compliance with ISO 27001:2013</w:t>
            </w:r>
            <w:bookmarkEnd w:id="137"/>
          </w:p>
        </w:tc>
      </w:tr>
      <w:tr w:rsidR="00AF30EB" w14:paraId="67D4E9B5" w14:textId="77777777" w:rsidTr="00E57EBD">
        <w:tc>
          <w:tcPr>
            <w:tcW w:w="367" w:type="dxa"/>
            <w:shd w:val="clear" w:color="auto" w:fill="F2F2F2"/>
          </w:tcPr>
          <w:p w14:paraId="2AEF37BC" w14:textId="77777777" w:rsidR="00AF30EB" w:rsidRPr="009834C7" w:rsidRDefault="00AF30EB" w:rsidP="00B700C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3639F0BA" w14:textId="77777777" w:rsidR="00AF30EB" w:rsidRPr="009834C7" w:rsidRDefault="00AF30EB" w:rsidP="00B700CC">
            <w:pPr>
              <w:rPr>
                <w:rFonts w:eastAsia="Calibri"/>
                <w:sz w:val="22"/>
                <w:szCs w:val="22"/>
              </w:rPr>
            </w:pPr>
            <w:r w:rsidRPr="00952629">
              <w:rPr>
                <w:rFonts w:eastAsia="Calibri"/>
                <w:szCs w:val="22"/>
              </w:rPr>
              <w:t>Number of nonconformities to the standard raised during int/</w:t>
            </w:r>
            <w:proofErr w:type="spellStart"/>
            <w:r w:rsidRPr="00952629">
              <w:rPr>
                <w:rFonts w:eastAsia="Calibri"/>
                <w:szCs w:val="22"/>
              </w:rPr>
              <w:t>ext</w:t>
            </w:r>
            <w:proofErr w:type="spellEnd"/>
            <w:r w:rsidRPr="00952629">
              <w:rPr>
                <w:rFonts w:eastAsia="Calibri"/>
                <w:szCs w:val="22"/>
              </w:rPr>
              <w:t xml:space="preserve"> audits</w:t>
            </w:r>
          </w:p>
        </w:tc>
      </w:tr>
      <w:tr w:rsidR="00AF30EB" w14:paraId="633659D7" w14:textId="77777777" w:rsidTr="00E57EBD">
        <w:trPr>
          <w:trHeight w:val="74"/>
        </w:trPr>
        <w:tc>
          <w:tcPr>
            <w:tcW w:w="828" w:type="dxa"/>
            <w:gridSpan w:val="2"/>
            <w:shd w:val="clear" w:color="auto" w:fill="F2F2F2"/>
          </w:tcPr>
          <w:p w14:paraId="6E16B24C" w14:textId="77777777" w:rsidR="00AF30EB" w:rsidRPr="009834C7" w:rsidRDefault="00AF30EB" w:rsidP="00AF30EB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7C2FCE0" w14:textId="77777777" w:rsidR="00AF30EB" w:rsidRPr="009834C7" w:rsidRDefault="00DE656A" w:rsidP="00B700CC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0E6C138A" w14:textId="77777777" w:rsidR="00AF30EB" w:rsidRPr="009834C7" w:rsidRDefault="005051B1" w:rsidP="00B700CC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Internal and external audit reports and findings</w:t>
            </w:r>
          </w:p>
        </w:tc>
      </w:tr>
      <w:tr w:rsidR="00AF30EB" w14:paraId="6CDDD8EC" w14:textId="77777777" w:rsidTr="00E57EBD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37217C9A" w14:textId="77777777" w:rsidR="00AF30EB" w:rsidRPr="009834C7" w:rsidRDefault="00AF30EB" w:rsidP="00AF30EB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AB5DE37" w14:textId="77777777" w:rsidR="00AF30EB" w:rsidRPr="009834C7" w:rsidRDefault="00AF30EB" w:rsidP="00B700CC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4E1A9548" w14:textId="77777777" w:rsidR="00AF30EB" w:rsidRPr="009834C7" w:rsidRDefault="00A01299" w:rsidP="00B700CC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On-going as Internal and External are conducted</w:t>
            </w:r>
          </w:p>
        </w:tc>
      </w:tr>
      <w:tr w:rsidR="005051B1" w14:paraId="61EA1E44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15D7D9E9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4CF8302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77E1A283" w14:textId="77777777" w:rsidR="005051B1" w:rsidRDefault="001C1A8F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All </w:t>
            </w:r>
            <w:r w:rsidR="00A01299">
              <w:rPr>
                <w:rFonts w:eastAsia="Calibri"/>
                <w:sz w:val="16"/>
                <w:szCs w:val="22"/>
              </w:rPr>
              <w:t xml:space="preserve">Minor </w:t>
            </w:r>
            <w:r>
              <w:rPr>
                <w:rFonts w:eastAsia="Calibri"/>
                <w:sz w:val="16"/>
                <w:szCs w:val="22"/>
              </w:rPr>
              <w:t>Non-Conform</w:t>
            </w:r>
            <w:r w:rsidR="00A01299">
              <w:rPr>
                <w:rFonts w:eastAsia="Calibri"/>
                <w:sz w:val="16"/>
                <w:szCs w:val="22"/>
              </w:rPr>
              <w:t>ities raised</w:t>
            </w:r>
            <w:r w:rsidR="00952629">
              <w:rPr>
                <w:rFonts w:eastAsia="Calibri"/>
                <w:sz w:val="16"/>
                <w:szCs w:val="22"/>
              </w:rPr>
              <w:t xml:space="preserve"> are</w:t>
            </w:r>
            <w:r w:rsidR="00A01299">
              <w:rPr>
                <w:rFonts w:eastAsia="Calibri"/>
                <w:sz w:val="16"/>
                <w:szCs w:val="22"/>
              </w:rPr>
              <w:t xml:space="preserve"> addressed within 180</w:t>
            </w:r>
            <w:r>
              <w:rPr>
                <w:rFonts w:eastAsia="Calibri"/>
                <w:sz w:val="16"/>
                <w:szCs w:val="22"/>
              </w:rPr>
              <w:t xml:space="preserve"> days</w:t>
            </w:r>
          </w:p>
          <w:p w14:paraId="26248409" w14:textId="77777777" w:rsidR="00A01299" w:rsidRPr="009834C7" w:rsidRDefault="00A01299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All Major Non-Conformities raised </w:t>
            </w:r>
            <w:r w:rsidR="00952629">
              <w:rPr>
                <w:rFonts w:eastAsia="Calibri"/>
                <w:sz w:val="16"/>
                <w:szCs w:val="22"/>
              </w:rPr>
              <w:t xml:space="preserve">are </w:t>
            </w:r>
            <w:r>
              <w:rPr>
                <w:rFonts w:eastAsia="Calibri"/>
                <w:sz w:val="16"/>
                <w:szCs w:val="22"/>
              </w:rPr>
              <w:t>addressed within 90 days</w:t>
            </w:r>
          </w:p>
        </w:tc>
      </w:tr>
      <w:tr w:rsidR="00251051" w14:paraId="7AFC1EC2" w14:textId="77777777" w:rsidTr="00251051">
        <w:tc>
          <w:tcPr>
            <w:tcW w:w="7811" w:type="dxa"/>
            <w:gridSpan w:val="4"/>
            <w:shd w:val="clear" w:color="auto" w:fill="auto"/>
          </w:tcPr>
          <w:p w14:paraId="6D97FE1A" w14:textId="77777777" w:rsidR="00251051" w:rsidRDefault="00251051" w:rsidP="00952629">
            <w:pPr>
              <w:pStyle w:val="Heading4"/>
              <w:rPr>
                <w:rFonts w:eastAsia="Calibri"/>
                <w:sz w:val="22"/>
              </w:rPr>
            </w:pPr>
            <w:bookmarkStart w:id="138" w:name="_Toc530139170"/>
            <w:r w:rsidRPr="00251051">
              <w:rPr>
                <w:rFonts w:eastAsia="Calibri"/>
              </w:rPr>
              <w:t>Completion of scheduled events</w:t>
            </w:r>
            <w:bookmarkEnd w:id="138"/>
          </w:p>
        </w:tc>
      </w:tr>
      <w:tr w:rsidR="00251051" w14:paraId="38092CBB" w14:textId="77777777" w:rsidTr="00E57EBD">
        <w:tc>
          <w:tcPr>
            <w:tcW w:w="367" w:type="dxa"/>
            <w:shd w:val="clear" w:color="auto" w:fill="F2F2F2"/>
          </w:tcPr>
          <w:p w14:paraId="3534E74C" w14:textId="77777777" w:rsidR="00251051" w:rsidRPr="009834C7" w:rsidRDefault="00251051" w:rsidP="00E57EBD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499A1AF6" w14:textId="77777777" w:rsidR="00251051" w:rsidRPr="009834C7" w:rsidRDefault="00251051" w:rsidP="00251051">
            <w:pPr>
              <w:rPr>
                <w:rFonts w:eastAsia="Calibri"/>
                <w:sz w:val="22"/>
                <w:szCs w:val="22"/>
              </w:rPr>
            </w:pPr>
            <w:r>
              <w:t>I</w:t>
            </w:r>
            <w:r w:rsidRPr="003127BE">
              <w:t>nternal audits completed to schedule</w:t>
            </w:r>
          </w:p>
        </w:tc>
      </w:tr>
      <w:tr w:rsidR="00251051" w14:paraId="000AD050" w14:textId="77777777" w:rsidTr="00E57EBD">
        <w:trPr>
          <w:trHeight w:val="130"/>
        </w:trPr>
        <w:tc>
          <w:tcPr>
            <w:tcW w:w="828" w:type="dxa"/>
            <w:gridSpan w:val="2"/>
            <w:shd w:val="clear" w:color="auto" w:fill="F2F2F2"/>
          </w:tcPr>
          <w:p w14:paraId="5305C1D9" w14:textId="77777777" w:rsidR="00251051" w:rsidRPr="009834C7" w:rsidRDefault="00251051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EEA795A" w14:textId="77777777" w:rsidR="00251051" w:rsidRPr="009834C7" w:rsidRDefault="00DE656A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243E2B2B" w14:textId="77777777" w:rsidR="00251051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Quality Manager</w:t>
            </w:r>
          </w:p>
        </w:tc>
      </w:tr>
      <w:tr w:rsidR="00251051" w14:paraId="2018BFB8" w14:textId="77777777" w:rsidTr="00E57EBD">
        <w:tc>
          <w:tcPr>
            <w:tcW w:w="828" w:type="dxa"/>
            <w:gridSpan w:val="2"/>
            <w:shd w:val="clear" w:color="auto" w:fill="F2F2F2"/>
          </w:tcPr>
          <w:p w14:paraId="39E64FAD" w14:textId="77777777" w:rsidR="00251051" w:rsidRPr="009834C7" w:rsidRDefault="00251051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38B65AE" w14:textId="77777777" w:rsidR="00251051" w:rsidRPr="009834C7" w:rsidRDefault="00251051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25C8B6C7" w14:textId="77777777" w:rsidR="00251051" w:rsidRPr="009834C7" w:rsidRDefault="001C1A8F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Scheduled based on a </w:t>
            </w:r>
            <w:r w:rsidR="005173D2">
              <w:rPr>
                <w:rFonts w:eastAsia="Calibri"/>
                <w:sz w:val="16"/>
                <w:szCs w:val="22"/>
              </w:rPr>
              <w:t>3-year</w:t>
            </w:r>
            <w:r>
              <w:rPr>
                <w:rFonts w:eastAsia="Calibri"/>
                <w:sz w:val="16"/>
                <w:szCs w:val="22"/>
              </w:rPr>
              <w:t xml:space="preserve"> cycle</w:t>
            </w:r>
            <w:r w:rsidR="00A01299">
              <w:rPr>
                <w:rFonts w:eastAsia="Calibri"/>
                <w:sz w:val="16"/>
                <w:szCs w:val="22"/>
              </w:rPr>
              <w:t>, measured annually</w:t>
            </w:r>
          </w:p>
        </w:tc>
      </w:tr>
      <w:tr w:rsidR="005051B1" w14:paraId="39D5D1FB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707FBDFF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6FA8DCC4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3C2A323B" w14:textId="77777777" w:rsidR="005051B1" w:rsidRPr="009834C7" w:rsidRDefault="00A01299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Audits completed on schedule</w:t>
            </w:r>
          </w:p>
        </w:tc>
      </w:tr>
      <w:tr w:rsidR="00251051" w14:paraId="74645AD2" w14:textId="77777777" w:rsidTr="00E57EBD">
        <w:tc>
          <w:tcPr>
            <w:tcW w:w="367" w:type="dxa"/>
            <w:shd w:val="clear" w:color="auto" w:fill="F2F2F2"/>
          </w:tcPr>
          <w:p w14:paraId="5AE56E23" w14:textId="77777777" w:rsidR="00251051" w:rsidRPr="009834C7" w:rsidRDefault="00251051" w:rsidP="00E57EBD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2EBF1A65" w14:textId="77777777" w:rsidR="00251051" w:rsidRPr="00251051" w:rsidRDefault="00251051" w:rsidP="00251051">
            <w:r w:rsidRPr="003127BE">
              <w:t>Internal audit coverage of all ISMS processes and controls at least annuall</w:t>
            </w:r>
            <w:r>
              <w:t>y</w:t>
            </w:r>
          </w:p>
        </w:tc>
      </w:tr>
      <w:tr w:rsidR="00251051" w14:paraId="02D46B94" w14:textId="77777777" w:rsidTr="00E57EBD">
        <w:trPr>
          <w:trHeight w:val="54"/>
        </w:trPr>
        <w:tc>
          <w:tcPr>
            <w:tcW w:w="828" w:type="dxa"/>
            <w:gridSpan w:val="2"/>
            <w:shd w:val="clear" w:color="auto" w:fill="F2F2F2"/>
          </w:tcPr>
          <w:p w14:paraId="48FD2B17" w14:textId="77777777" w:rsidR="00251051" w:rsidRPr="009834C7" w:rsidRDefault="00251051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336AF47D" w14:textId="77777777" w:rsidR="00251051" w:rsidRPr="009834C7" w:rsidRDefault="00DE656A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</w:t>
            </w:r>
            <w:r w:rsidR="00251051" w:rsidRPr="009834C7">
              <w:rPr>
                <w:rFonts w:eastAsia="Calibri"/>
                <w:i/>
                <w:sz w:val="16"/>
                <w:szCs w:val="22"/>
              </w:rPr>
              <w:t>ource:</w:t>
            </w:r>
          </w:p>
        </w:tc>
        <w:tc>
          <w:tcPr>
            <w:tcW w:w="5903" w:type="dxa"/>
            <w:shd w:val="clear" w:color="auto" w:fill="auto"/>
          </w:tcPr>
          <w:p w14:paraId="29321ECD" w14:textId="77777777" w:rsidR="00251051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Quality Manager</w:t>
            </w:r>
            <w:r w:rsidR="002A53A0">
              <w:rPr>
                <w:rFonts w:eastAsia="Calibri"/>
                <w:sz w:val="16"/>
                <w:szCs w:val="22"/>
              </w:rPr>
              <w:t>; Valid ISMS, Internal Auditors</w:t>
            </w:r>
          </w:p>
        </w:tc>
      </w:tr>
      <w:tr w:rsidR="00251051" w14:paraId="3AD62B94" w14:textId="77777777" w:rsidTr="00E57EBD">
        <w:tc>
          <w:tcPr>
            <w:tcW w:w="828" w:type="dxa"/>
            <w:gridSpan w:val="2"/>
            <w:shd w:val="clear" w:color="auto" w:fill="F2F2F2"/>
          </w:tcPr>
          <w:p w14:paraId="2A2FBCB9" w14:textId="77777777" w:rsidR="00251051" w:rsidRPr="009834C7" w:rsidRDefault="00251051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0467C248" w14:textId="77777777" w:rsidR="00251051" w:rsidRPr="009834C7" w:rsidRDefault="00251051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1B94E9B3" w14:textId="77777777" w:rsidR="00251051" w:rsidRPr="009834C7" w:rsidRDefault="002A53A0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Scheduled based on a </w:t>
            </w:r>
            <w:r w:rsidR="005173D2">
              <w:rPr>
                <w:rFonts w:eastAsia="Calibri"/>
                <w:sz w:val="16"/>
                <w:szCs w:val="22"/>
              </w:rPr>
              <w:t>3-year</w:t>
            </w:r>
            <w:r>
              <w:rPr>
                <w:rFonts w:eastAsia="Calibri"/>
                <w:sz w:val="16"/>
                <w:szCs w:val="22"/>
              </w:rPr>
              <w:t xml:space="preserve"> cycle</w:t>
            </w:r>
            <w:r w:rsidR="00A01299">
              <w:rPr>
                <w:rFonts w:eastAsia="Calibri"/>
                <w:sz w:val="16"/>
                <w:szCs w:val="22"/>
              </w:rPr>
              <w:t>, measured annually</w:t>
            </w:r>
          </w:p>
        </w:tc>
      </w:tr>
      <w:tr w:rsidR="005051B1" w14:paraId="23EF9163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4552A568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0EA05C0E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38F82D53" w14:textId="77777777" w:rsidR="005051B1" w:rsidRPr="009834C7" w:rsidRDefault="002A53A0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100% of all offices audited against 100% of controls every 3 years.</w:t>
            </w:r>
          </w:p>
        </w:tc>
      </w:tr>
      <w:tr w:rsidR="00251051" w14:paraId="797E3AE8" w14:textId="77777777" w:rsidTr="00E57EBD">
        <w:tc>
          <w:tcPr>
            <w:tcW w:w="367" w:type="dxa"/>
            <w:shd w:val="clear" w:color="auto" w:fill="F2F2F2"/>
          </w:tcPr>
          <w:p w14:paraId="38A93A56" w14:textId="77777777" w:rsidR="00251051" w:rsidRPr="009834C7" w:rsidRDefault="00251051" w:rsidP="00E57EBD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4F2FD7FF" w14:textId="77777777" w:rsidR="00251051" w:rsidRPr="00251051" w:rsidRDefault="00251051" w:rsidP="00E57EBD">
            <w:r w:rsidRPr="003127BE">
              <w:t>Review of I</w:t>
            </w:r>
            <w:r>
              <w:t>SMS completed at least annually</w:t>
            </w:r>
          </w:p>
        </w:tc>
      </w:tr>
      <w:tr w:rsidR="00251051" w14:paraId="05841143" w14:textId="77777777" w:rsidTr="00E57EBD">
        <w:trPr>
          <w:trHeight w:val="106"/>
        </w:trPr>
        <w:tc>
          <w:tcPr>
            <w:tcW w:w="828" w:type="dxa"/>
            <w:gridSpan w:val="2"/>
            <w:shd w:val="clear" w:color="auto" w:fill="F2F2F2"/>
          </w:tcPr>
          <w:p w14:paraId="7AA6DE59" w14:textId="77777777" w:rsidR="00251051" w:rsidRPr="009834C7" w:rsidRDefault="00251051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6EACF723" w14:textId="77777777" w:rsidR="00251051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7C91EED3" w14:textId="77777777" w:rsidR="00251051" w:rsidRPr="009834C7" w:rsidRDefault="00BD5170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Valid ISMS.  Risk and Compliance team. </w:t>
            </w:r>
            <w:r w:rsidR="00A01299">
              <w:rPr>
                <w:rFonts w:eastAsia="Calibri"/>
                <w:sz w:val="16"/>
                <w:szCs w:val="22"/>
              </w:rPr>
              <w:t>Management review team</w:t>
            </w:r>
          </w:p>
        </w:tc>
      </w:tr>
      <w:tr w:rsidR="00251051" w14:paraId="1B9160FC" w14:textId="77777777" w:rsidTr="00E57EBD">
        <w:tc>
          <w:tcPr>
            <w:tcW w:w="828" w:type="dxa"/>
            <w:gridSpan w:val="2"/>
            <w:shd w:val="clear" w:color="auto" w:fill="F2F2F2"/>
          </w:tcPr>
          <w:p w14:paraId="3696ED84" w14:textId="77777777" w:rsidR="00251051" w:rsidRPr="009834C7" w:rsidRDefault="00251051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722A0F1" w14:textId="77777777" w:rsidR="00251051" w:rsidRPr="009834C7" w:rsidRDefault="00251051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66851C09" w14:textId="77777777" w:rsidR="00251051" w:rsidRPr="009834C7" w:rsidRDefault="003F784C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</w:t>
            </w:r>
            <w:r w:rsidR="00A01299">
              <w:rPr>
                <w:rFonts w:eastAsia="Calibri"/>
                <w:sz w:val="16"/>
                <w:szCs w:val="22"/>
              </w:rPr>
              <w:t>t least a</w:t>
            </w:r>
            <w:r>
              <w:rPr>
                <w:rFonts w:eastAsia="Calibri"/>
                <w:sz w:val="16"/>
                <w:szCs w:val="22"/>
              </w:rPr>
              <w:t>nnually</w:t>
            </w:r>
          </w:p>
        </w:tc>
      </w:tr>
      <w:tr w:rsidR="005051B1" w14:paraId="567C40C8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3342639D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4F43D21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78D9CC37" w14:textId="77777777" w:rsidR="005051B1" w:rsidRPr="009834C7" w:rsidRDefault="003F784C" w:rsidP="003F784C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Ensure that the ISMS </w:t>
            </w:r>
            <w:r w:rsidR="005173D2">
              <w:rPr>
                <w:rFonts w:eastAsia="Calibri"/>
                <w:sz w:val="16"/>
                <w:szCs w:val="22"/>
              </w:rPr>
              <w:t>remain</w:t>
            </w:r>
            <w:r>
              <w:rPr>
                <w:rFonts w:eastAsia="Calibri"/>
                <w:sz w:val="16"/>
                <w:szCs w:val="22"/>
              </w:rPr>
              <w:t xml:space="preserve"> in-line with the requirement of both the </w:t>
            </w:r>
            <w:proofErr w:type="gramStart"/>
            <w:r>
              <w:rPr>
                <w:rFonts w:eastAsia="Calibri"/>
                <w:sz w:val="16"/>
                <w:szCs w:val="22"/>
              </w:rPr>
              <w:t>top level</w:t>
            </w:r>
            <w:proofErr w:type="gramEnd"/>
            <w:r>
              <w:rPr>
                <w:rFonts w:eastAsia="Calibri"/>
                <w:sz w:val="16"/>
                <w:szCs w:val="22"/>
              </w:rPr>
              <w:t xml:space="preserve"> management and regulatory obligations. </w:t>
            </w:r>
          </w:p>
        </w:tc>
      </w:tr>
      <w:tr w:rsidR="00251051" w14:paraId="57BE81EE" w14:textId="77777777" w:rsidTr="00E57EBD">
        <w:tc>
          <w:tcPr>
            <w:tcW w:w="367" w:type="dxa"/>
            <w:shd w:val="clear" w:color="auto" w:fill="F2F2F2"/>
          </w:tcPr>
          <w:p w14:paraId="77CE1A96" w14:textId="77777777" w:rsidR="00251051" w:rsidRPr="009834C7" w:rsidRDefault="00251051" w:rsidP="00E57EBD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38DED5D8" w14:textId="77777777" w:rsidR="00251051" w:rsidRPr="00251051" w:rsidRDefault="00251051" w:rsidP="00E57EBD">
            <w:r w:rsidRPr="003127BE">
              <w:t>Review of Risk Assessment completed at least annually</w:t>
            </w:r>
          </w:p>
        </w:tc>
      </w:tr>
      <w:tr w:rsidR="00251051" w14:paraId="17F7C612" w14:textId="77777777" w:rsidTr="00E57EBD">
        <w:trPr>
          <w:trHeight w:val="50"/>
        </w:trPr>
        <w:tc>
          <w:tcPr>
            <w:tcW w:w="828" w:type="dxa"/>
            <w:gridSpan w:val="2"/>
            <w:shd w:val="clear" w:color="auto" w:fill="F2F2F2"/>
          </w:tcPr>
          <w:p w14:paraId="428B65B9" w14:textId="77777777" w:rsidR="00251051" w:rsidRPr="009834C7" w:rsidRDefault="00251051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8CA3103" w14:textId="77777777" w:rsidR="00251051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7FC732E0" w14:textId="77777777" w:rsidR="00251051" w:rsidRPr="009834C7" w:rsidRDefault="003F784C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Valid risk register; asset owners, accountable persons.</w:t>
            </w:r>
          </w:p>
        </w:tc>
      </w:tr>
      <w:tr w:rsidR="00251051" w14:paraId="1DCF1664" w14:textId="77777777" w:rsidTr="00E57EBD">
        <w:tc>
          <w:tcPr>
            <w:tcW w:w="828" w:type="dxa"/>
            <w:gridSpan w:val="2"/>
            <w:shd w:val="clear" w:color="auto" w:fill="F2F2F2"/>
          </w:tcPr>
          <w:p w14:paraId="17765C69" w14:textId="77777777" w:rsidR="00251051" w:rsidRPr="009834C7" w:rsidRDefault="00251051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32C3E0A4" w14:textId="77777777" w:rsidR="00251051" w:rsidRPr="009834C7" w:rsidRDefault="00251051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1F8DCBC5" w14:textId="77777777" w:rsidR="00251051" w:rsidRPr="009834C7" w:rsidRDefault="003F784C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At least annually </w:t>
            </w:r>
          </w:p>
        </w:tc>
      </w:tr>
      <w:tr w:rsidR="005051B1" w14:paraId="6061844C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2C9ABB4B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470FF23B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49CC8DEF" w14:textId="77777777" w:rsidR="00994791" w:rsidRDefault="003F784C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Ensure that ex</w:t>
            </w:r>
            <w:r w:rsidR="00994791">
              <w:rPr>
                <w:rFonts w:eastAsia="Calibri"/>
                <w:sz w:val="16"/>
                <w:szCs w:val="22"/>
              </w:rPr>
              <w:t xml:space="preserve">isting asset and supplier risk assessments </w:t>
            </w:r>
            <w:r>
              <w:rPr>
                <w:rFonts w:eastAsia="Calibri"/>
                <w:sz w:val="16"/>
                <w:szCs w:val="22"/>
              </w:rPr>
              <w:t>are reviewed</w:t>
            </w:r>
            <w:r w:rsidR="00994791">
              <w:rPr>
                <w:rFonts w:eastAsia="Calibri"/>
                <w:sz w:val="16"/>
                <w:szCs w:val="22"/>
              </w:rPr>
              <w:t xml:space="preserve"> </w:t>
            </w:r>
            <w:r w:rsidR="005D5BA8">
              <w:rPr>
                <w:rFonts w:eastAsia="Calibri"/>
                <w:sz w:val="16"/>
                <w:szCs w:val="22"/>
              </w:rPr>
              <w:t>annually</w:t>
            </w:r>
            <w:r>
              <w:rPr>
                <w:rFonts w:eastAsia="Calibri"/>
                <w:sz w:val="16"/>
                <w:szCs w:val="22"/>
              </w:rPr>
              <w:t xml:space="preserve">.  </w:t>
            </w:r>
          </w:p>
          <w:p w14:paraId="476DF51F" w14:textId="77777777" w:rsidR="005051B1" w:rsidRPr="009834C7" w:rsidRDefault="0099479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E</w:t>
            </w:r>
            <w:r w:rsidR="003F784C">
              <w:rPr>
                <w:rFonts w:eastAsia="Calibri"/>
                <w:sz w:val="16"/>
                <w:szCs w:val="22"/>
              </w:rPr>
              <w:t xml:space="preserve">nsure new risks are evaluated and added to the register. </w:t>
            </w:r>
          </w:p>
        </w:tc>
      </w:tr>
      <w:tr w:rsidR="00251051" w14:paraId="32C27D2B" w14:textId="77777777" w:rsidTr="00251051">
        <w:tc>
          <w:tcPr>
            <w:tcW w:w="7811" w:type="dxa"/>
            <w:gridSpan w:val="4"/>
            <w:shd w:val="clear" w:color="auto" w:fill="auto"/>
          </w:tcPr>
          <w:p w14:paraId="181D2FE1" w14:textId="77777777" w:rsidR="00251051" w:rsidRPr="00251051" w:rsidRDefault="00251051" w:rsidP="00952629">
            <w:pPr>
              <w:pStyle w:val="Heading4"/>
            </w:pPr>
            <w:bookmarkStart w:id="139" w:name="_Toc530139171"/>
            <w:r w:rsidRPr="00251051">
              <w:t>Improvement of ISMS</w:t>
            </w:r>
            <w:bookmarkEnd w:id="139"/>
          </w:p>
        </w:tc>
      </w:tr>
      <w:tr w:rsidR="00251051" w14:paraId="33BD47D6" w14:textId="77777777" w:rsidTr="00E57EBD">
        <w:tc>
          <w:tcPr>
            <w:tcW w:w="367" w:type="dxa"/>
            <w:shd w:val="clear" w:color="auto" w:fill="F2F2F2"/>
          </w:tcPr>
          <w:p w14:paraId="6A489776" w14:textId="77777777" w:rsidR="00251051" w:rsidRPr="009834C7" w:rsidRDefault="00251051" w:rsidP="00AF30EB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7DE77696" w14:textId="77777777" w:rsidR="00251051" w:rsidRPr="009834C7" w:rsidRDefault="00251051" w:rsidP="00251051">
            <w:pPr>
              <w:rPr>
                <w:rFonts w:eastAsia="Calibri"/>
                <w:sz w:val="16"/>
                <w:szCs w:val="22"/>
              </w:rPr>
            </w:pPr>
            <w:r w:rsidRPr="003127BE">
              <w:t>System improvements implemented via the Corrective Action process</w:t>
            </w:r>
          </w:p>
        </w:tc>
      </w:tr>
      <w:tr w:rsidR="00251051" w14:paraId="5F1A6C37" w14:textId="77777777" w:rsidTr="00251051">
        <w:trPr>
          <w:trHeight w:val="50"/>
        </w:trPr>
        <w:tc>
          <w:tcPr>
            <w:tcW w:w="828" w:type="dxa"/>
            <w:gridSpan w:val="2"/>
            <w:shd w:val="clear" w:color="auto" w:fill="F2F2F2"/>
          </w:tcPr>
          <w:p w14:paraId="7F79B395" w14:textId="77777777" w:rsidR="00251051" w:rsidRPr="009834C7" w:rsidRDefault="00251051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AEB48F8" w14:textId="77777777" w:rsidR="00251051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2F5B5D63" w14:textId="77777777" w:rsidR="00251051" w:rsidRPr="009834C7" w:rsidRDefault="00BD5170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Internal and external audit reports and findings. Risk and Compliance team. </w:t>
            </w:r>
          </w:p>
        </w:tc>
      </w:tr>
      <w:tr w:rsidR="00251051" w14:paraId="62BE7AE2" w14:textId="77777777" w:rsidTr="00251051">
        <w:tc>
          <w:tcPr>
            <w:tcW w:w="828" w:type="dxa"/>
            <w:gridSpan w:val="2"/>
            <w:shd w:val="clear" w:color="auto" w:fill="F2F2F2"/>
          </w:tcPr>
          <w:p w14:paraId="13B65E3D" w14:textId="77777777" w:rsidR="00251051" w:rsidRPr="009834C7" w:rsidRDefault="00251051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649FEFC" w14:textId="77777777" w:rsidR="00251051" w:rsidRPr="009834C7" w:rsidRDefault="00251051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6FC7E58E" w14:textId="77777777" w:rsidR="00251051" w:rsidRPr="009834C7" w:rsidRDefault="00C70B6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As defined by the internal and external auditors </w:t>
            </w:r>
          </w:p>
        </w:tc>
      </w:tr>
      <w:tr w:rsidR="005051B1" w14:paraId="0B921026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407D2B82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CFAFA49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6360971D" w14:textId="77777777" w:rsidR="005051B1" w:rsidRPr="009834C7" w:rsidRDefault="00C70B69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Demonstrable improvement of the ISMS </w:t>
            </w:r>
          </w:p>
        </w:tc>
      </w:tr>
      <w:tr w:rsidR="00251051" w14:paraId="2AA21621" w14:textId="77777777" w:rsidTr="00E57EBD">
        <w:tc>
          <w:tcPr>
            <w:tcW w:w="367" w:type="dxa"/>
            <w:shd w:val="clear" w:color="auto" w:fill="F2F2F2"/>
          </w:tcPr>
          <w:p w14:paraId="7D8248C2" w14:textId="77777777" w:rsidR="00251051" w:rsidRPr="009834C7" w:rsidRDefault="00251051" w:rsidP="00AF30EB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0A2E3B35" w14:textId="77777777" w:rsidR="00251051" w:rsidRPr="003127BE" w:rsidRDefault="00343A78" w:rsidP="00251051">
            <w:r>
              <w:t>Awareness</w:t>
            </w:r>
            <w:r w:rsidR="00251051" w:rsidRPr="003127BE">
              <w:t xml:space="preserve"> improvements implemented via the Incident Management process</w:t>
            </w:r>
          </w:p>
        </w:tc>
      </w:tr>
      <w:tr w:rsidR="00251051" w14:paraId="5591932C" w14:textId="77777777" w:rsidTr="00E57EBD">
        <w:trPr>
          <w:trHeight w:val="50"/>
        </w:trPr>
        <w:tc>
          <w:tcPr>
            <w:tcW w:w="828" w:type="dxa"/>
            <w:gridSpan w:val="2"/>
            <w:shd w:val="clear" w:color="auto" w:fill="F2F2F2"/>
          </w:tcPr>
          <w:p w14:paraId="2737BA78" w14:textId="77777777" w:rsidR="00251051" w:rsidRPr="009834C7" w:rsidRDefault="00251051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FF95634" w14:textId="77777777" w:rsidR="00251051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3B6CBCBE" w14:textId="77777777" w:rsidR="00251051" w:rsidRPr="009834C7" w:rsidRDefault="00C50C63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Incident reporting system; </w:t>
            </w:r>
            <w:r w:rsidR="00A367E1">
              <w:rPr>
                <w:rFonts w:eastAsia="Calibri"/>
                <w:sz w:val="16"/>
                <w:szCs w:val="22"/>
              </w:rPr>
              <w:t>Risk and Compliance team; staff awareness program</w:t>
            </w:r>
          </w:p>
        </w:tc>
      </w:tr>
      <w:tr w:rsidR="00251051" w14:paraId="0B3EAE90" w14:textId="77777777" w:rsidTr="00E57EBD">
        <w:tc>
          <w:tcPr>
            <w:tcW w:w="828" w:type="dxa"/>
            <w:gridSpan w:val="2"/>
            <w:shd w:val="clear" w:color="auto" w:fill="F2F2F2"/>
          </w:tcPr>
          <w:p w14:paraId="4CC7EA22" w14:textId="77777777" w:rsidR="00251051" w:rsidRPr="009834C7" w:rsidRDefault="00251051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2C6DEA74" w14:textId="77777777" w:rsidR="00251051" w:rsidRPr="009834C7" w:rsidRDefault="00251051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0FC81E4A" w14:textId="77777777" w:rsidR="00251051" w:rsidRPr="009834C7" w:rsidRDefault="00A367E1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As and when required (depending on incidents raised).</w:t>
            </w:r>
          </w:p>
        </w:tc>
      </w:tr>
      <w:tr w:rsidR="005051B1" w14:paraId="41E5FCE6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7EBB8E32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C4B03BB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64DB089B" w14:textId="77777777" w:rsidR="005051B1" w:rsidRPr="009834C7" w:rsidRDefault="00A367E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To use output from reported incidents to drive the awareness program</w:t>
            </w:r>
          </w:p>
        </w:tc>
      </w:tr>
      <w:tr w:rsidR="007E1C5A" w14:paraId="0BA9B79F" w14:textId="77777777" w:rsidTr="007E1C5A">
        <w:tc>
          <w:tcPr>
            <w:tcW w:w="7811" w:type="dxa"/>
            <w:gridSpan w:val="4"/>
            <w:shd w:val="clear" w:color="auto" w:fill="auto"/>
          </w:tcPr>
          <w:p w14:paraId="2F23CE2F" w14:textId="77777777" w:rsidR="007E1C5A" w:rsidRPr="007E1C5A" w:rsidRDefault="007E1C5A" w:rsidP="00952629">
            <w:pPr>
              <w:pStyle w:val="Heading4"/>
            </w:pPr>
            <w:bookmarkStart w:id="140" w:name="_Toc530139172"/>
            <w:r>
              <w:lastRenderedPageBreak/>
              <w:t>Awareness program</w:t>
            </w:r>
            <w:bookmarkEnd w:id="140"/>
          </w:p>
        </w:tc>
      </w:tr>
      <w:tr w:rsidR="007E1C5A" w14:paraId="2044E940" w14:textId="77777777" w:rsidTr="007E1C5A">
        <w:tc>
          <w:tcPr>
            <w:tcW w:w="367" w:type="dxa"/>
            <w:shd w:val="clear" w:color="auto" w:fill="F2F2F2"/>
          </w:tcPr>
          <w:p w14:paraId="08F5FA60" w14:textId="77777777" w:rsidR="007E1C5A" w:rsidRPr="009834C7" w:rsidRDefault="007E1C5A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7444" w:type="dxa"/>
            <w:gridSpan w:val="3"/>
            <w:shd w:val="clear" w:color="auto" w:fill="auto"/>
          </w:tcPr>
          <w:p w14:paraId="5F92DD69" w14:textId="77777777" w:rsidR="007E1C5A" w:rsidRPr="007E1C5A" w:rsidRDefault="007E1C5A" w:rsidP="00E57EBD">
            <w:r w:rsidRPr="003127BE">
              <w:t>Percentage of employees completing annual ISMS awareness training</w:t>
            </w:r>
          </w:p>
        </w:tc>
      </w:tr>
      <w:tr w:rsidR="007E1C5A" w14:paraId="37D8FFFC" w14:textId="77777777" w:rsidTr="00E57EBD">
        <w:trPr>
          <w:trHeight w:val="50"/>
        </w:trPr>
        <w:tc>
          <w:tcPr>
            <w:tcW w:w="828" w:type="dxa"/>
            <w:gridSpan w:val="2"/>
            <w:shd w:val="clear" w:color="auto" w:fill="F2F2F2"/>
          </w:tcPr>
          <w:p w14:paraId="0EB50981" w14:textId="77777777" w:rsidR="007E1C5A" w:rsidRPr="009834C7" w:rsidRDefault="007E1C5A" w:rsidP="00E57EBD">
            <w:pPr>
              <w:rPr>
                <w:rFonts w:eastAsia="Calibri"/>
                <w:b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23A57C1" w14:textId="77777777" w:rsidR="007E1C5A" w:rsidRPr="009834C7" w:rsidRDefault="00A01299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Source:</w:t>
            </w:r>
          </w:p>
        </w:tc>
        <w:tc>
          <w:tcPr>
            <w:tcW w:w="5903" w:type="dxa"/>
            <w:shd w:val="clear" w:color="auto" w:fill="auto"/>
          </w:tcPr>
          <w:p w14:paraId="2345624E" w14:textId="77777777" w:rsidR="007E1C5A" w:rsidRPr="009834C7" w:rsidRDefault="004B5FBA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Valid awareness program; lessons learned input; Incident reporting input; asset risk assessment input</w:t>
            </w:r>
          </w:p>
        </w:tc>
      </w:tr>
      <w:tr w:rsidR="007E1C5A" w14:paraId="68D29B36" w14:textId="77777777" w:rsidTr="00E57EBD">
        <w:tc>
          <w:tcPr>
            <w:tcW w:w="828" w:type="dxa"/>
            <w:gridSpan w:val="2"/>
            <w:shd w:val="clear" w:color="auto" w:fill="F2F2F2"/>
          </w:tcPr>
          <w:p w14:paraId="1AE1427D" w14:textId="77777777" w:rsidR="007E1C5A" w:rsidRPr="009834C7" w:rsidRDefault="007E1C5A" w:rsidP="00E57EBD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4EC06404" w14:textId="77777777" w:rsidR="007E1C5A" w:rsidRPr="009834C7" w:rsidRDefault="007E1C5A" w:rsidP="00E57EBD">
            <w:pPr>
              <w:rPr>
                <w:rFonts w:eastAsia="Calibri"/>
                <w:sz w:val="16"/>
                <w:szCs w:val="22"/>
              </w:rPr>
            </w:pPr>
            <w:r w:rsidRPr="009834C7">
              <w:rPr>
                <w:rFonts w:eastAsia="Calibri"/>
                <w:i/>
                <w:sz w:val="16"/>
                <w:szCs w:val="22"/>
              </w:rPr>
              <w:t>Frequency:</w:t>
            </w:r>
          </w:p>
        </w:tc>
        <w:tc>
          <w:tcPr>
            <w:tcW w:w="5903" w:type="dxa"/>
            <w:shd w:val="clear" w:color="auto" w:fill="auto"/>
          </w:tcPr>
          <w:p w14:paraId="45C9C68B" w14:textId="77777777" w:rsidR="007E1C5A" w:rsidRPr="009834C7" w:rsidRDefault="004B5FBA" w:rsidP="00E57EBD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Continuous awareness for staff</w:t>
            </w:r>
          </w:p>
        </w:tc>
      </w:tr>
      <w:tr w:rsidR="005051B1" w14:paraId="5385AC30" w14:textId="77777777" w:rsidTr="00BD5170">
        <w:trPr>
          <w:trHeight w:val="120"/>
        </w:trPr>
        <w:tc>
          <w:tcPr>
            <w:tcW w:w="828" w:type="dxa"/>
            <w:gridSpan w:val="2"/>
            <w:shd w:val="clear" w:color="auto" w:fill="F2F2F2"/>
          </w:tcPr>
          <w:p w14:paraId="729942DA" w14:textId="77777777" w:rsidR="005051B1" w:rsidRPr="009834C7" w:rsidRDefault="005051B1" w:rsidP="00BD5170">
            <w:pPr>
              <w:rPr>
                <w:rFonts w:eastAsia="Calibri"/>
                <w:i/>
                <w:sz w:val="16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CA69609" w14:textId="77777777" w:rsidR="005051B1" w:rsidRPr="009834C7" w:rsidRDefault="005051B1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i/>
                <w:sz w:val="16"/>
                <w:szCs w:val="22"/>
              </w:rPr>
              <w:t>Target</w:t>
            </w:r>
            <w:r w:rsidRPr="009834C7">
              <w:rPr>
                <w:rFonts w:eastAsia="Calibri"/>
                <w:i/>
                <w:sz w:val="16"/>
                <w:szCs w:val="22"/>
              </w:rPr>
              <w:t>:</w:t>
            </w:r>
          </w:p>
        </w:tc>
        <w:tc>
          <w:tcPr>
            <w:tcW w:w="5903" w:type="dxa"/>
            <w:shd w:val="clear" w:color="auto" w:fill="auto"/>
          </w:tcPr>
          <w:p w14:paraId="1DD6C664" w14:textId="77777777" w:rsidR="005051B1" w:rsidRPr="009834C7" w:rsidRDefault="00AE267E" w:rsidP="00BD5170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100% staff 100% completion of all courses</w:t>
            </w:r>
          </w:p>
        </w:tc>
      </w:tr>
    </w:tbl>
    <w:p w14:paraId="4A2BA0AD" w14:textId="77777777" w:rsidR="00251051" w:rsidRDefault="00251051" w:rsidP="00251051">
      <w:pPr>
        <w:ind w:left="1620"/>
      </w:pPr>
    </w:p>
    <w:p w14:paraId="06BFF4A1" w14:textId="77777777" w:rsidR="003127BE" w:rsidRPr="00F7376E" w:rsidRDefault="003127BE" w:rsidP="000D6AF2">
      <w:pPr>
        <w:pStyle w:val="Heading2"/>
      </w:pPr>
      <w:bookmarkStart w:id="141" w:name="_Toc530139173"/>
      <w:r w:rsidRPr="00F7376E">
        <w:t>Objectives and measures for ISMS performance</w:t>
      </w:r>
      <w:bookmarkEnd w:id="141"/>
    </w:p>
    <w:p w14:paraId="0D18678F" w14:textId="77777777" w:rsidR="003127BE" w:rsidRDefault="003127BE" w:rsidP="003127BE">
      <w:r w:rsidRPr="003127BE">
        <w:t xml:space="preserve">       </w:t>
      </w:r>
    </w:p>
    <w:p w14:paraId="7C498CB9" w14:textId="77777777" w:rsidR="003127BE" w:rsidRPr="003127BE" w:rsidRDefault="003127BE" w:rsidP="00B700CC">
      <w:pPr>
        <w:numPr>
          <w:ilvl w:val="0"/>
          <w:numId w:val="22"/>
        </w:numPr>
        <w:rPr>
          <w:b/>
        </w:rPr>
      </w:pPr>
      <w:r w:rsidRPr="003127BE">
        <w:rPr>
          <w:b/>
        </w:rPr>
        <w:t>Confidentiality</w:t>
      </w:r>
    </w:p>
    <w:p w14:paraId="2CA882C1" w14:textId="77777777" w:rsidR="003127BE" w:rsidRDefault="003127BE" w:rsidP="00B700CC">
      <w:pPr>
        <w:numPr>
          <w:ilvl w:val="0"/>
          <w:numId w:val="26"/>
        </w:numPr>
        <w:ind w:left="1620" w:hanging="540"/>
      </w:pPr>
      <w:r w:rsidRPr="003127BE">
        <w:t>Number of confirmed security breaches</w:t>
      </w:r>
      <w:r w:rsidR="00236F88">
        <w:t xml:space="preserve"> relating to confidentiality</w:t>
      </w:r>
    </w:p>
    <w:p w14:paraId="57ACEF2B" w14:textId="77777777" w:rsidR="00E456C2" w:rsidRPr="003127BE" w:rsidRDefault="00E456C2" w:rsidP="00E456C2">
      <w:pPr>
        <w:ind w:left="1650"/>
      </w:pPr>
    </w:p>
    <w:p w14:paraId="20602249" w14:textId="77777777" w:rsidR="00B700CC" w:rsidRDefault="003127BE" w:rsidP="00B700CC">
      <w:pPr>
        <w:numPr>
          <w:ilvl w:val="0"/>
          <w:numId w:val="22"/>
        </w:numPr>
        <w:rPr>
          <w:b/>
        </w:rPr>
      </w:pPr>
      <w:r w:rsidRPr="00E456C2">
        <w:rPr>
          <w:b/>
        </w:rPr>
        <w:t>Integrity</w:t>
      </w:r>
    </w:p>
    <w:p w14:paraId="230FFFF2" w14:textId="77777777" w:rsidR="00236F88" w:rsidRPr="00B700CC" w:rsidRDefault="00236F88" w:rsidP="00B700CC">
      <w:pPr>
        <w:numPr>
          <w:ilvl w:val="0"/>
          <w:numId w:val="25"/>
        </w:numPr>
        <w:ind w:left="1620" w:hanging="540"/>
        <w:rPr>
          <w:b/>
        </w:rPr>
      </w:pPr>
      <w:r w:rsidRPr="003127BE">
        <w:t>Number of confirmed security breaches</w:t>
      </w:r>
      <w:r>
        <w:t xml:space="preserve"> relating to integrity</w:t>
      </w:r>
    </w:p>
    <w:p w14:paraId="37DAADF2" w14:textId="77777777" w:rsidR="00E456C2" w:rsidRDefault="00E456C2" w:rsidP="003127BE"/>
    <w:p w14:paraId="5B4FFE3F" w14:textId="77777777" w:rsidR="00E456C2" w:rsidRDefault="003127BE" w:rsidP="00B700CC">
      <w:pPr>
        <w:numPr>
          <w:ilvl w:val="0"/>
          <w:numId w:val="22"/>
        </w:numPr>
        <w:rPr>
          <w:b/>
        </w:rPr>
      </w:pPr>
      <w:r w:rsidRPr="00E456C2">
        <w:rPr>
          <w:b/>
        </w:rPr>
        <w:t>Availability</w:t>
      </w:r>
    </w:p>
    <w:p w14:paraId="26D98EDB" w14:textId="77777777" w:rsidR="00E456C2" w:rsidRDefault="003127BE" w:rsidP="00B700CC">
      <w:pPr>
        <w:numPr>
          <w:ilvl w:val="0"/>
          <w:numId w:val="24"/>
        </w:numPr>
        <w:ind w:left="1620" w:hanging="540"/>
        <w:rPr>
          <w:b/>
        </w:rPr>
      </w:pPr>
      <w:r w:rsidRPr="003127BE">
        <w:t xml:space="preserve">System up-time as a percentage of </w:t>
      </w:r>
      <w:r w:rsidR="003E3D6A">
        <w:t>service hours</w:t>
      </w:r>
      <w:r w:rsidR="00F17FF3">
        <w:t xml:space="preserve"> </w:t>
      </w:r>
      <w:r w:rsidR="00F17FF3" w:rsidRPr="003127BE">
        <w:t>(monthly)</w:t>
      </w:r>
    </w:p>
    <w:p w14:paraId="034A247B" w14:textId="77777777" w:rsidR="003127BE" w:rsidRPr="00E456C2" w:rsidRDefault="003127BE" w:rsidP="00B700CC">
      <w:pPr>
        <w:numPr>
          <w:ilvl w:val="1"/>
          <w:numId w:val="27"/>
        </w:numPr>
        <w:ind w:left="1620" w:hanging="540"/>
        <w:rPr>
          <w:b/>
        </w:rPr>
      </w:pPr>
      <w:r w:rsidRPr="003127BE">
        <w:t xml:space="preserve">System backups completed as planned </w:t>
      </w:r>
    </w:p>
    <w:p w14:paraId="4E6629A5" w14:textId="77777777" w:rsidR="003127BE" w:rsidRDefault="003127BE" w:rsidP="003127BE"/>
    <w:p w14:paraId="40588A2B" w14:textId="77777777" w:rsidR="003127BE" w:rsidRPr="00F7376E" w:rsidRDefault="003127BE" w:rsidP="00F7376E">
      <w:pPr>
        <w:pStyle w:val="Heading2"/>
      </w:pPr>
      <w:bookmarkStart w:id="142" w:name="_Toc530139174"/>
      <w:r w:rsidRPr="00F7376E">
        <w:t>Additional Objectives and measures for ISMS Risk Treatment Controls</w:t>
      </w:r>
      <w:bookmarkEnd w:id="142"/>
    </w:p>
    <w:p w14:paraId="1FB95B54" w14:textId="77777777" w:rsidR="00E456C2" w:rsidRPr="00E456C2" w:rsidRDefault="00E456C2" w:rsidP="003127BE">
      <w:pPr>
        <w:rPr>
          <w:b/>
        </w:rPr>
      </w:pPr>
    </w:p>
    <w:p w14:paraId="24F178D6" w14:textId="77777777" w:rsidR="003127BE" w:rsidRPr="00E456C2" w:rsidRDefault="003127BE" w:rsidP="003127BE">
      <w:pPr>
        <w:rPr>
          <w:vanish/>
          <w:specVanish/>
        </w:rPr>
      </w:pPr>
      <w:r w:rsidRPr="003127BE">
        <w:t xml:space="preserve">In addition to the </w:t>
      </w:r>
      <w:proofErr w:type="gramStart"/>
      <w:r w:rsidRPr="003127BE">
        <w:t>aforementioned objectives</w:t>
      </w:r>
      <w:proofErr w:type="gramEnd"/>
      <w:r w:rsidRPr="003127BE">
        <w:t xml:space="preserve">, ISO/IEC 27001:2013 Annex A includes control objectives for risk treatment controls.  Where such controls are implemented, </w:t>
      </w:r>
      <w:r w:rsidR="00621232">
        <w:t>Chief Information Security Officer</w:t>
      </w:r>
      <w:r w:rsidR="00432B78">
        <w:t xml:space="preserve"> and the relevant risk owner decide</w:t>
      </w:r>
      <w:r w:rsidRPr="003127BE">
        <w:t xml:space="preserve"> the necessity for monitoring and measurement of the controls, and achievement of the objectives.</w:t>
      </w:r>
    </w:p>
    <w:p w14:paraId="5EB582FB" w14:textId="77777777" w:rsidR="003127BE" w:rsidRDefault="003127BE" w:rsidP="003127BE"/>
    <w:p w14:paraId="746EBDD5" w14:textId="77777777" w:rsidR="00E456C2" w:rsidRPr="00E456C2" w:rsidRDefault="00E456C2" w:rsidP="003127BE">
      <w:pPr>
        <w:rPr>
          <w:vanish/>
          <w:specVanish/>
        </w:rPr>
      </w:pPr>
      <w:r>
        <w:br w:type="page"/>
      </w:r>
    </w:p>
    <w:p w14:paraId="57758EBC" w14:textId="77777777" w:rsidR="003127BE" w:rsidRPr="00E456C2" w:rsidRDefault="003127BE" w:rsidP="003127BE">
      <w:pPr>
        <w:rPr>
          <w:vanish/>
          <w:specVanish/>
        </w:rPr>
      </w:pPr>
    </w:p>
    <w:p w14:paraId="53F1B3F6" w14:textId="77777777" w:rsidR="00342D56" w:rsidRPr="00342D56" w:rsidRDefault="00E456C2" w:rsidP="00342D56">
      <w:pPr>
        <w:pStyle w:val="Heading1"/>
      </w:pPr>
      <w:bookmarkStart w:id="143" w:name="_Toc413399537"/>
      <w:r>
        <w:t xml:space="preserve"> </w:t>
      </w:r>
      <w:bookmarkStart w:id="144" w:name="_Toc530139175"/>
      <w:r w:rsidR="00342D56" w:rsidRPr="00342D56">
        <w:t>Document Control and Approval</w:t>
      </w:r>
      <w:bookmarkEnd w:id="143"/>
      <w:bookmarkEnd w:id="144"/>
    </w:p>
    <w:p w14:paraId="7A91D342" w14:textId="77777777" w:rsidR="00342D56" w:rsidRPr="00E4019F" w:rsidRDefault="00342D56" w:rsidP="00342D56">
      <w:pPr>
        <w:rPr>
          <w:rFonts w:cs="Arial"/>
          <w:sz w:val="22"/>
        </w:rPr>
      </w:pPr>
    </w:p>
    <w:p w14:paraId="47628496" w14:textId="77777777" w:rsidR="00621232" w:rsidRPr="00FE098C" w:rsidRDefault="00621232" w:rsidP="00621232">
      <w:pPr>
        <w:rPr>
          <w:rFonts w:cs="Arial"/>
        </w:rPr>
      </w:pPr>
      <w:r w:rsidRPr="00FE098C">
        <w:rPr>
          <w:rFonts w:cs="Arial"/>
        </w:rPr>
        <w:t xml:space="preserve">The </w:t>
      </w:r>
      <w:r>
        <w:rPr>
          <w:rFonts w:cs="Arial"/>
        </w:rPr>
        <w:t>Chief Information Security Officer</w:t>
      </w:r>
      <w:r w:rsidRPr="00FE098C">
        <w:rPr>
          <w:rFonts w:cs="Arial"/>
        </w:rPr>
        <w:t xml:space="preserve"> is the owner of this document and is responsible for ensuring that this procedure is reviewed in line with the review requirements of the ISMS. </w:t>
      </w:r>
    </w:p>
    <w:p w14:paraId="298540D7" w14:textId="77777777" w:rsidR="00621232" w:rsidRPr="00FE098C" w:rsidRDefault="00621232" w:rsidP="00621232">
      <w:pPr>
        <w:ind w:hanging="720"/>
        <w:rPr>
          <w:rFonts w:cs="Arial"/>
        </w:rPr>
      </w:pPr>
    </w:p>
    <w:p w14:paraId="7815437B" w14:textId="77777777" w:rsidR="00621232" w:rsidRPr="00FE098C" w:rsidRDefault="00621232" w:rsidP="00621232">
      <w:pPr>
        <w:rPr>
          <w:rFonts w:cs="Arial"/>
        </w:rPr>
      </w:pPr>
      <w:r w:rsidRPr="00FE098C">
        <w:rPr>
          <w:rFonts w:cs="Arial"/>
        </w:rPr>
        <w:t>A current version of this document is available to all members of staff and is the published version.</w:t>
      </w:r>
    </w:p>
    <w:p w14:paraId="62CABB8B" w14:textId="77777777" w:rsidR="00621232" w:rsidRDefault="00621232" w:rsidP="00621232">
      <w:pPr>
        <w:rPr>
          <w:rFonts w:cs="Arial"/>
        </w:rPr>
      </w:pPr>
    </w:p>
    <w:p w14:paraId="1689B910" w14:textId="77777777" w:rsidR="00621232" w:rsidRPr="00342D56" w:rsidRDefault="00621232" w:rsidP="00621232">
      <w:pPr>
        <w:rPr>
          <w:rFonts w:cs="Arial"/>
        </w:rPr>
      </w:pPr>
    </w:p>
    <w:p w14:paraId="3C8D4E10" w14:textId="77777777" w:rsidR="00621232" w:rsidRPr="00342D56" w:rsidRDefault="00621232" w:rsidP="00621232">
      <w:pPr>
        <w:rPr>
          <w:rFonts w:cs="Arial"/>
        </w:rPr>
      </w:pPr>
      <w:r w:rsidRPr="00342D56">
        <w:rPr>
          <w:rFonts w:cs="Arial"/>
        </w:rPr>
        <w:t>Signature:</w:t>
      </w:r>
      <w:r w:rsidRPr="00342D56">
        <w:rPr>
          <w:rFonts w:cs="Arial"/>
        </w:rPr>
        <w:tab/>
      </w:r>
      <w:r>
        <w:rPr>
          <w:rFonts w:ascii="Brush Script MT" w:hAnsi="Brush Script MT" w:cs="Arial"/>
          <w:sz w:val="24"/>
        </w:rPr>
        <w:t>Executive Manager Signature</w:t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  <w:t xml:space="preserve">Date: </w:t>
      </w:r>
      <w:r>
        <w:rPr>
          <w:rFonts w:cs="Arial"/>
        </w:rPr>
        <w:t>01.01.2019</w:t>
      </w:r>
    </w:p>
    <w:p w14:paraId="13F89EF2" w14:textId="77777777" w:rsidR="00621232" w:rsidRPr="002011C7" w:rsidRDefault="00621232" w:rsidP="00621232">
      <w:pPr>
        <w:rPr>
          <w:rFonts w:cs="Arial"/>
        </w:rPr>
      </w:pPr>
    </w:p>
    <w:p w14:paraId="43F6694E" w14:textId="77777777" w:rsidR="00621232" w:rsidRPr="00342D56" w:rsidRDefault="00621232" w:rsidP="00621232">
      <w:pPr>
        <w:rPr>
          <w:rFonts w:cs="Arial"/>
        </w:rPr>
      </w:pPr>
    </w:p>
    <w:p w14:paraId="5F32A270" w14:textId="77777777" w:rsidR="00621232" w:rsidRPr="00342D56" w:rsidRDefault="00621232" w:rsidP="00621232">
      <w:pPr>
        <w:pStyle w:val="Heading2"/>
      </w:pPr>
      <w:bookmarkStart w:id="145" w:name="_Toc412794034"/>
      <w:bookmarkStart w:id="146" w:name="_Toc535885337"/>
      <w:r w:rsidRPr="00342D56">
        <w:t>Distribution</w:t>
      </w:r>
      <w:bookmarkEnd w:id="145"/>
      <w:bookmarkEnd w:id="146"/>
    </w:p>
    <w:p w14:paraId="348E7902" w14:textId="77777777" w:rsidR="00621232" w:rsidRPr="00E4019F" w:rsidRDefault="00621232" w:rsidP="00621232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621232" w:rsidRPr="00E4019F" w14:paraId="0A8168B6" w14:textId="77777777" w:rsidTr="00523434">
        <w:tc>
          <w:tcPr>
            <w:tcW w:w="2970" w:type="dxa"/>
            <w:shd w:val="pct20" w:color="auto" w:fill="auto"/>
          </w:tcPr>
          <w:p w14:paraId="58C4FECB" w14:textId="77777777" w:rsidR="00621232" w:rsidRPr="00E4019F" w:rsidRDefault="00621232" w:rsidP="00523434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Name</w:t>
            </w:r>
          </w:p>
        </w:tc>
        <w:tc>
          <w:tcPr>
            <w:tcW w:w="6120" w:type="dxa"/>
            <w:shd w:val="pct20" w:color="auto" w:fill="auto"/>
          </w:tcPr>
          <w:p w14:paraId="186F8D03" w14:textId="77777777" w:rsidR="00621232" w:rsidRPr="00E4019F" w:rsidRDefault="00621232" w:rsidP="00523434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Role</w:t>
            </w:r>
          </w:p>
        </w:tc>
      </w:tr>
      <w:tr w:rsidR="00621232" w:rsidRPr="00E4019F" w14:paraId="5F99CCD4" w14:textId="77777777" w:rsidTr="00523434">
        <w:tc>
          <w:tcPr>
            <w:tcW w:w="2970" w:type="dxa"/>
          </w:tcPr>
          <w:p w14:paraId="219ABF92" w14:textId="77777777" w:rsidR="00621232" w:rsidRPr="00E4019F" w:rsidRDefault="00621232" w:rsidP="00523434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Intranet</w:t>
            </w:r>
          </w:p>
          <w:p w14:paraId="48B41962" w14:textId="77777777" w:rsidR="00621232" w:rsidRPr="00E4019F" w:rsidRDefault="00621232" w:rsidP="00523434">
            <w:pPr>
              <w:spacing w:before="120"/>
              <w:rPr>
                <w:rFonts w:cs="Arial"/>
                <w:i/>
              </w:rPr>
            </w:pPr>
          </w:p>
        </w:tc>
        <w:tc>
          <w:tcPr>
            <w:tcW w:w="6120" w:type="dxa"/>
          </w:tcPr>
          <w:p w14:paraId="403E9A2C" w14:textId="77777777" w:rsidR="00621232" w:rsidRPr="00E4019F" w:rsidRDefault="00621232" w:rsidP="00523434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Distribution to all staff</w:t>
            </w:r>
          </w:p>
          <w:p w14:paraId="3CAD4E18" w14:textId="77777777" w:rsidR="00621232" w:rsidRPr="00E4019F" w:rsidRDefault="00621232" w:rsidP="00523434">
            <w:pPr>
              <w:spacing w:before="120"/>
              <w:rPr>
                <w:rFonts w:cs="Arial"/>
                <w:i/>
              </w:rPr>
            </w:pPr>
          </w:p>
        </w:tc>
      </w:tr>
    </w:tbl>
    <w:p w14:paraId="2A53C040" w14:textId="77777777" w:rsidR="00621232" w:rsidRPr="00E4019F" w:rsidRDefault="00621232" w:rsidP="00621232">
      <w:pPr>
        <w:pStyle w:val="Heading2"/>
        <w:numPr>
          <w:ilvl w:val="0"/>
          <w:numId w:val="0"/>
        </w:numPr>
        <w:rPr>
          <w:rFonts w:cs="Arial"/>
          <w:i/>
        </w:rPr>
      </w:pPr>
    </w:p>
    <w:p w14:paraId="6A032BEB" w14:textId="77777777" w:rsidR="00621232" w:rsidRPr="0034051C" w:rsidRDefault="00621232" w:rsidP="00621232">
      <w:pPr>
        <w:pStyle w:val="Heading2"/>
      </w:pPr>
      <w:bookmarkStart w:id="147" w:name="_Toc412794035"/>
      <w:bookmarkStart w:id="148" w:name="_Toc535885338"/>
      <w:r w:rsidRPr="0034051C">
        <w:t>Version Information</w:t>
      </w:r>
      <w:bookmarkEnd w:id="147"/>
      <w:bookmarkEnd w:id="148"/>
    </w:p>
    <w:p w14:paraId="16B8B9F4" w14:textId="77777777" w:rsidR="00621232" w:rsidRPr="00E4019F" w:rsidRDefault="00621232" w:rsidP="00621232">
      <w:pPr>
        <w:rPr>
          <w:rFonts w:cs="Arial"/>
        </w:rPr>
      </w:pPr>
    </w:p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985"/>
        <w:gridCol w:w="4819"/>
      </w:tblGrid>
      <w:tr w:rsidR="00621232" w:rsidRPr="00E4019F" w14:paraId="4660B8D6" w14:textId="77777777" w:rsidTr="00523434">
        <w:trPr>
          <w:cantSplit/>
        </w:trPr>
        <w:tc>
          <w:tcPr>
            <w:tcW w:w="993" w:type="dxa"/>
            <w:shd w:val="pct20" w:color="auto" w:fill="auto"/>
          </w:tcPr>
          <w:p w14:paraId="47C2887A" w14:textId="77777777" w:rsidR="00621232" w:rsidRPr="00E4019F" w:rsidRDefault="00621232" w:rsidP="00523434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Version</w:t>
            </w:r>
          </w:p>
        </w:tc>
        <w:tc>
          <w:tcPr>
            <w:tcW w:w="1275" w:type="dxa"/>
            <w:shd w:val="pct20" w:color="auto" w:fill="auto"/>
          </w:tcPr>
          <w:p w14:paraId="0CFA8B10" w14:textId="77777777" w:rsidR="00621232" w:rsidRPr="00E4019F" w:rsidRDefault="00621232" w:rsidP="00523434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Date</w:t>
            </w:r>
          </w:p>
        </w:tc>
        <w:tc>
          <w:tcPr>
            <w:tcW w:w="1985" w:type="dxa"/>
            <w:shd w:val="pct20" w:color="auto" w:fill="auto"/>
          </w:tcPr>
          <w:p w14:paraId="02B59705" w14:textId="77777777" w:rsidR="00621232" w:rsidRPr="00E4019F" w:rsidRDefault="00621232" w:rsidP="00523434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Author(s)</w:t>
            </w:r>
          </w:p>
        </w:tc>
        <w:tc>
          <w:tcPr>
            <w:tcW w:w="4819" w:type="dxa"/>
            <w:shd w:val="pct20" w:color="auto" w:fill="auto"/>
          </w:tcPr>
          <w:p w14:paraId="0B6F42C2" w14:textId="77777777" w:rsidR="00621232" w:rsidRPr="00E4019F" w:rsidRDefault="00621232" w:rsidP="00523434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Details</w:t>
            </w:r>
          </w:p>
        </w:tc>
      </w:tr>
      <w:tr w:rsidR="00621232" w:rsidRPr="00E4019F" w14:paraId="409B9311" w14:textId="77777777" w:rsidTr="00523434">
        <w:trPr>
          <w:cantSplit/>
        </w:trPr>
        <w:tc>
          <w:tcPr>
            <w:tcW w:w="993" w:type="dxa"/>
          </w:tcPr>
          <w:p w14:paraId="079FC899" w14:textId="77777777" w:rsidR="00621232" w:rsidRPr="00E4019F" w:rsidRDefault="00621232" w:rsidP="00523434">
            <w:pPr>
              <w:rPr>
                <w:rFonts w:cs="Arial"/>
              </w:rPr>
            </w:pPr>
            <w:r w:rsidRPr="00E4019F">
              <w:rPr>
                <w:rFonts w:cs="Arial"/>
              </w:rPr>
              <w:t>0.</w:t>
            </w:r>
            <w:r>
              <w:rPr>
                <w:rFonts w:cs="Arial"/>
              </w:rPr>
              <w:t>1</w:t>
            </w:r>
          </w:p>
        </w:tc>
        <w:tc>
          <w:tcPr>
            <w:tcW w:w="1275" w:type="dxa"/>
          </w:tcPr>
          <w:p w14:paraId="17DF3820" w14:textId="77777777" w:rsidR="00621232" w:rsidRPr="00E4019F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11/28</w:t>
            </w:r>
            <w:r w:rsidRPr="00E4019F">
              <w:rPr>
                <w:rFonts w:cs="Arial"/>
              </w:rPr>
              <w:t>/1</w:t>
            </w:r>
            <w:r>
              <w:rPr>
                <w:rFonts w:cs="Arial"/>
              </w:rPr>
              <w:t>8</w:t>
            </w:r>
          </w:p>
        </w:tc>
        <w:tc>
          <w:tcPr>
            <w:tcW w:w="1985" w:type="dxa"/>
          </w:tcPr>
          <w:p w14:paraId="6978F359" w14:textId="77777777" w:rsidR="00621232" w:rsidRPr="00E4019F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  <w:r w:rsidRPr="00E4019F">
              <w:rPr>
                <w:rFonts w:cs="Arial"/>
              </w:rPr>
              <w:t xml:space="preserve"> </w:t>
            </w:r>
          </w:p>
        </w:tc>
        <w:tc>
          <w:tcPr>
            <w:tcW w:w="4819" w:type="dxa"/>
          </w:tcPr>
          <w:p w14:paraId="601C815C" w14:textId="77777777" w:rsidR="00621232" w:rsidRPr="00E4019F" w:rsidRDefault="00621232" w:rsidP="00523434">
            <w:pPr>
              <w:rPr>
                <w:rFonts w:cs="Arial"/>
              </w:rPr>
            </w:pPr>
            <w:r w:rsidRPr="00E4019F">
              <w:rPr>
                <w:rFonts w:cs="Arial"/>
              </w:rPr>
              <w:t>First draft</w:t>
            </w:r>
          </w:p>
        </w:tc>
      </w:tr>
      <w:tr w:rsidR="00621232" w:rsidRPr="00E4019F" w14:paraId="0C53606C" w14:textId="77777777" w:rsidTr="00523434">
        <w:trPr>
          <w:cantSplit/>
        </w:trPr>
        <w:tc>
          <w:tcPr>
            <w:tcW w:w="993" w:type="dxa"/>
          </w:tcPr>
          <w:p w14:paraId="2B65DB8D" w14:textId="77777777" w:rsidR="00621232" w:rsidRPr="00E4019F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275" w:type="dxa"/>
          </w:tcPr>
          <w:p w14:paraId="7DA48B08" w14:textId="77777777" w:rsidR="00621232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12/07/18</w:t>
            </w:r>
          </w:p>
        </w:tc>
        <w:tc>
          <w:tcPr>
            <w:tcW w:w="1985" w:type="dxa"/>
          </w:tcPr>
          <w:p w14:paraId="2C76B7CE" w14:textId="77777777" w:rsidR="00621232" w:rsidRPr="00E4019F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</w:p>
        </w:tc>
        <w:tc>
          <w:tcPr>
            <w:tcW w:w="4819" w:type="dxa"/>
          </w:tcPr>
          <w:p w14:paraId="61762417" w14:textId="77777777" w:rsidR="00621232" w:rsidRPr="00E4019F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</w:tr>
      <w:tr w:rsidR="00621232" w:rsidRPr="00E4019F" w14:paraId="6E5F8403" w14:textId="77777777" w:rsidTr="00523434">
        <w:trPr>
          <w:cantSplit/>
        </w:trPr>
        <w:tc>
          <w:tcPr>
            <w:tcW w:w="993" w:type="dxa"/>
          </w:tcPr>
          <w:p w14:paraId="75A6CF72" w14:textId="77777777" w:rsidR="00621232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75" w:type="dxa"/>
          </w:tcPr>
          <w:p w14:paraId="1B713BCE" w14:textId="77777777" w:rsidR="00621232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01/01/19</w:t>
            </w:r>
          </w:p>
        </w:tc>
        <w:tc>
          <w:tcPr>
            <w:tcW w:w="1985" w:type="dxa"/>
          </w:tcPr>
          <w:p w14:paraId="62101D2F" w14:textId="77777777" w:rsidR="00621232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</w:p>
        </w:tc>
        <w:tc>
          <w:tcPr>
            <w:tcW w:w="4819" w:type="dxa"/>
          </w:tcPr>
          <w:p w14:paraId="1F3C7BA1" w14:textId="77777777" w:rsidR="00621232" w:rsidRDefault="00621232" w:rsidP="00523434">
            <w:pPr>
              <w:rPr>
                <w:rFonts w:cs="Arial"/>
              </w:rPr>
            </w:pPr>
            <w:r>
              <w:rPr>
                <w:rFonts w:cs="Arial"/>
              </w:rPr>
              <w:t>First published</w:t>
            </w:r>
          </w:p>
        </w:tc>
      </w:tr>
      <w:tr w:rsidR="00621232" w:rsidRPr="00E4019F" w14:paraId="606F405C" w14:textId="77777777" w:rsidTr="00523434">
        <w:trPr>
          <w:cantSplit/>
        </w:trPr>
        <w:tc>
          <w:tcPr>
            <w:tcW w:w="993" w:type="dxa"/>
          </w:tcPr>
          <w:p w14:paraId="61584D97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13A58648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501D2543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092B6285" w14:textId="77777777" w:rsidR="00621232" w:rsidRDefault="00621232" w:rsidP="00523434">
            <w:pPr>
              <w:rPr>
                <w:rFonts w:cs="Arial"/>
              </w:rPr>
            </w:pPr>
          </w:p>
        </w:tc>
      </w:tr>
      <w:tr w:rsidR="00621232" w:rsidRPr="00E4019F" w14:paraId="4397553B" w14:textId="77777777" w:rsidTr="00523434">
        <w:trPr>
          <w:cantSplit/>
        </w:trPr>
        <w:tc>
          <w:tcPr>
            <w:tcW w:w="993" w:type="dxa"/>
          </w:tcPr>
          <w:p w14:paraId="27050488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68B9998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34901AEF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17661DF1" w14:textId="77777777" w:rsidR="00621232" w:rsidRDefault="00621232" w:rsidP="00523434">
            <w:pPr>
              <w:rPr>
                <w:rFonts w:cs="Arial"/>
              </w:rPr>
            </w:pPr>
          </w:p>
        </w:tc>
      </w:tr>
      <w:tr w:rsidR="00621232" w:rsidRPr="00E4019F" w14:paraId="74C8B778" w14:textId="77777777" w:rsidTr="00523434">
        <w:trPr>
          <w:cantSplit/>
        </w:trPr>
        <w:tc>
          <w:tcPr>
            <w:tcW w:w="993" w:type="dxa"/>
          </w:tcPr>
          <w:p w14:paraId="1FAD987E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61BFEE5E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1B2868C3" w14:textId="77777777" w:rsidR="00621232" w:rsidRDefault="00621232" w:rsidP="00523434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7847C7CB" w14:textId="77777777" w:rsidR="00621232" w:rsidRDefault="00621232" w:rsidP="00523434">
            <w:pPr>
              <w:rPr>
                <w:rFonts w:cs="Arial"/>
              </w:rPr>
            </w:pPr>
          </w:p>
        </w:tc>
      </w:tr>
      <w:tr w:rsidR="00621232" w:rsidRPr="00E4019F" w14:paraId="79115AFE" w14:textId="77777777" w:rsidTr="00523434">
        <w:trPr>
          <w:cantSplit/>
        </w:trPr>
        <w:tc>
          <w:tcPr>
            <w:tcW w:w="993" w:type="dxa"/>
          </w:tcPr>
          <w:p w14:paraId="53337931" w14:textId="77777777" w:rsidR="00621232" w:rsidRPr="00E4019F" w:rsidRDefault="00621232" w:rsidP="00523434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78BD3DB7" w14:textId="77777777" w:rsidR="00621232" w:rsidRPr="00E4019F" w:rsidRDefault="00621232" w:rsidP="00523434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0EF58B6C" w14:textId="77777777" w:rsidR="00621232" w:rsidRPr="00E4019F" w:rsidRDefault="00621232" w:rsidP="00523434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7CF25E1C" w14:textId="77777777" w:rsidR="00621232" w:rsidRPr="00E4019F" w:rsidRDefault="00621232" w:rsidP="00523434">
            <w:pPr>
              <w:rPr>
                <w:rFonts w:cs="Arial"/>
              </w:rPr>
            </w:pPr>
          </w:p>
        </w:tc>
      </w:tr>
    </w:tbl>
    <w:p w14:paraId="29DCC82C" w14:textId="77777777" w:rsidR="00DF0C2D" w:rsidRDefault="00F7376E" w:rsidP="00F7376E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sectPr w:rsidR="00DF0C2D" w:rsidSect="000B4DE7">
      <w:pgSz w:w="11909" w:h="16834" w:code="9"/>
      <w:pgMar w:top="403" w:right="1797" w:bottom="1440" w:left="179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760B" w14:textId="77777777" w:rsidR="002B38AE" w:rsidRDefault="002B38AE">
      <w:r>
        <w:separator/>
      </w:r>
    </w:p>
  </w:endnote>
  <w:endnote w:type="continuationSeparator" w:id="0">
    <w:p w14:paraId="2CFF85F7" w14:textId="77777777" w:rsidR="002B38AE" w:rsidRDefault="002B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674CE" w14:textId="77777777" w:rsidR="002B38AE" w:rsidRDefault="002B38AE">
      <w:r>
        <w:separator/>
      </w:r>
    </w:p>
  </w:footnote>
  <w:footnote w:type="continuationSeparator" w:id="0">
    <w:p w14:paraId="6F0BA873" w14:textId="77777777" w:rsidR="002B38AE" w:rsidRDefault="002B3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BE"/>
    <w:multiLevelType w:val="multilevel"/>
    <w:tmpl w:val="26588A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91BEF"/>
    <w:multiLevelType w:val="hybridMultilevel"/>
    <w:tmpl w:val="2A16D426"/>
    <w:lvl w:ilvl="0" w:tplc="26E0B7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5B51"/>
    <w:multiLevelType w:val="hybridMultilevel"/>
    <w:tmpl w:val="0EE6E3FC"/>
    <w:lvl w:ilvl="0" w:tplc="6F6E3EA8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055B4"/>
    <w:multiLevelType w:val="hybridMultilevel"/>
    <w:tmpl w:val="2A58ED90"/>
    <w:lvl w:ilvl="0" w:tplc="5C1874BE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803CC"/>
    <w:multiLevelType w:val="hybridMultilevel"/>
    <w:tmpl w:val="C3E25D90"/>
    <w:lvl w:ilvl="0" w:tplc="5C1874BE">
      <w:start w:val="1"/>
      <w:numFmt w:val="decimal"/>
      <w:lvlText w:val="3.%1"/>
      <w:lvlJc w:val="left"/>
      <w:pPr>
        <w:ind w:left="142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3A20C3"/>
    <w:multiLevelType w:val="hybridMultilevel"/>
    <w:tmpl w:val="133C4372"/>
    <w:lvl w:ilvl="0" w:tplc="EDEE73B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6F6E3EA8">
      <w:numFmt w:val="bullet"/>
      <w:lvlText w:val="·"/>
      <w:lvlJc w:val="left"/>
      <w:pPr>
        <w:ind w:left="1650" w:hanging="57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93086"/>
    <w:multiLevelType w:val="hybridMultilevel"/>
    <w:tmpl w:val="EFC05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BE6B26"/>
    <w:multiLevelType w:val="hybridMultilevel"/>
    <w:tmpl w:val="C234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E074F"/>
    <w:multiLevelType w:val="hybridMultilevel"/>
    <w:tmpl w:val="3A44C290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87CFE"/>
    <w:multiLevelType w:val="hybridMultilevel"/>
    <w:tmpl w:val="0128AB86"/>
    <w:lvl w:ilvl="0" w:tplc="6F6E3EA8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0D155D"/>
    <w:multiLevelType w:val="hybridMultilevel"/>
    <w:tmpl w:val="A5BA778C"/>
    <w:lvl w:ilvl="0" w:tplc="26E0B7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6F6E3EA8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13DAD"/>
    <w:multiLevelType w:val="hybridMultilevel"/>
    <w:tmpl w:val="BEF8E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A1429"/>
    <w:multiLevelType w:val="hybridMultilevel"/>
    <w:tmpl w:val="4E0EEC7A"/>
    <w:lvl w:ilvl="0" w:tplc="6F6E3EA8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5F2AD4"/>
    <w:multiLevelType w:val="hybridMultilevel"/>
    <w:tmpl w:val="9B50FADE"/>
    <w:lvl w:ilvl="0" w:tplc="5C1874BE">
      <w:start w:val="1"/>
      <w:numFmt w:val="decimal"/>
      <w:lvlText w:val="3.%1"/>
      <w:lvlJc w:val="left"/>
      <w:pPr>
        <w:ind w:left="142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AF1579"/>
    <w:multiLevelType w:val="hybridMultilevel"/>
    <w:tmpl w:val="EC366C8C"/>
    <w:lvl w:ilvl="0" w:tplc="6F6E3EA8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6"/>
  </w:num>
  <w:num w:numId="24">
    <w:abstractNumId w:val="2"/>
  </w:num>
  <w:num w:numId="25">
    <w:abstractNumId w:val="14"/>
  </w:num>
  <w:num w:numId="26">
    <w:abstractNumId w:val="12"/>
  </w:num>
  <w:num w:numId="27">
    <w:abstractNumId w:val="10"/>
  </w:num>
  <w:num w:numId="2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14"/>
    <w:rsid w:val="00003A44"/>
    <w:rsid w:val="0001307F"/>
    <w:rsid w:val="0002351D"/>
    <w:rsid w:val="000258B2"/>
    <w:rsid w:val="00025E07"/>
    <w:rsid w:val="00030640"/>
    <w:rsid w:val="0003168F"/>
    <w:rsid w:val="000323F7"/>
    <w:rsid w:val="00032AF2"/>
    <w:rsid w:val="00032DEC"/>
    <w:rsid w:val="00037EE8"/>
    <w:rsid w:val="000412AF"/>
    <w:rsid w:val="00042671"/>
    <w:rsid w:val="00044C6D"/>
    <w:rsid w:val="00045B5A"/>
    <w:rsid w:val="0005342D"/>
    <w:rsid w:val="00055772"/>
    <w:rsid w:val="000562A5"/>
    <w:rsid w:val="00057E7E"/>
    <w:rsid w:val="00060F70"/>
    <w:rsid w:val="00060F8C"/>
    <w:rsid w:val="0006552E"/>
    <w:rsid w:val="00066356"/>
    <w:rsid w:val="000803E0"/>
    <w:rsid w:val="00083F45"/>
    <w:rsid w:val="00085824"/>
    <w:rsid w:val="000859A8"/>
    <w:rsid w:val="00085C9C"/>
    <w:rsid w:val="000867F6"/>
    <w:rsid w:val="00092FF5"/>
    <w:rsid w:val="000931C7"/>
    <w:rsid w:val="00093AEB"/>
    <w:rsid w:val="00096F52"/>
    <w:rsid w:val="000A3ABF"/>
    <w:rsid w:val="000A418A"/>
    <w:rsid w:val="000A41A1"/>
    <w:rsid w:val="000A4BDB"/>
    <w:rsid w:val="000A5283"/>
    <w:rsid w:val="000B0722"/>
    <w:rsid w:val="000B1E6A"/>
    <w:rsid w:val="000B2B76"/>
    <w:rsid w:val="000B2F98"/>
    <w:rsid w:val="000B337E"/>
    <w:rsid w:val="000B4393"/>
    <w:rsid w:val="000B4DE7"/>
    <w:rsid w:val="000B4E02"/>
    <w:rsid w:val="000B63A5"/>
    <w:rsid w:val="000C0A14"/>
    <w:rsid w:val="000C64F9"/>
    <w:rsid w:val="000D6AF2"/>
    <w:rsid w:val="000E1218"/>
    <w:rsid w:val="000E21A7"/>
    <w:rsid w:val="000E6B91"/>
    <w:rsid w:val="000E6E1F"/>
    <w:rsid w:val="000E6F72"/>
    <w:rsid w:val="000F368C"/>
    <w:rsid w:val="000F4D77"/>
    <w:rsid w:val="00101F9A"/>
    <w:rsid w:val="0010705A"/>
    <w:rsid w:val="00111051"/>
    <w:rsid w:val="00114ED8"/>
    <w:rsid w:val="00116EFB"/>
    <w:rsid w:val="00123014"/>
    <w:rsid w:val="00130AD4"/>
    <w:rsid w:val="00131345"/>
    <w:rsid w:val="0013336C"/>
    <w:rsid w:val="001340F4"/>
    <w:rsid w:val="001346C5"/>
    <w:rsid w:val="00151BB7"/>
    <w:rsid w:val="00155F7A"/>
    <w:rsid w:val="00160DF0"/>
    <w:rsid w:val="00161338"/>
    <w:rsid w:val="00162B18"/>
    <w:rsid w:val="0016400F"/>
    <w:rsid w:val="0016506E"/>
    <w:rsid w:val="00165D74"/>
    <w:rsid w:val="00172941"/>
    <w:rsid w:val="00173607"/>
    <w:rsid w:val="00185033"/>
    <w:rsid w:val="00186EAD"/>
    <w:rsid w:val="00186F65"/>
    <w:rsid w:val="001906C0"/>
    <w:rsid w:val="00195706"/>
    <w:rsid w:val="001A088E"/>
    <w:rsid w:val="001A3743"/>
    <w:rsid w:val="001A444D"/>
    <w:rsid w:val="001A45FB"/>
    <w:rsid w:val="001B232F"/>
    <w:rsid w:val="001B29C9"/>
    <w:rsid w:val="001B3ED4"/>
    <w:rsid w:val="001B488A"/>
    <w:rsid w:val="001C1A8F"/>
    <w:rsid w:val="001D2A19"/>
    <w:rsid w:val="001D3BC2"/>
    <w:rsid w:val="001E0F63"/>
    <w:rsid w:val="001F17BC"/>
    <w:rsid w:val="001F26BB"/>
    <w:rsid w:val="001F273D"/>
    <w:rsid w:val="001F2B4E"/>
    <w:rsid w:val="001F3899"/>
    <w:rsid w:val="0020385F"/>
    <w:rsid w:val="00207319"/>
    <w:rsid w:val="00212D4E"/>
    <w:rsid w:val="002173DF"/>
    <w:rsid w:val="002233DA"/>
    <w:rsid w:val="0022430C"/>
    <w:rsid w:val="0022431F"/>
    <w:rsid w:val="0022612C"/>
    <w:rsid w:val="00226CE5"/>
    <w:rsid w:val="00231CD5"/>
    <w:rsid w:val="00233661"/>
    <w:rsid w:val="00234F0F"/>
    <w:rsid w:val="00236572"/>
    <w:rsid w:val="00236F88"/>
    <w:rsid w:val="00237BF6"/>
    <w:rsid w:val="00243676"/>
    <w:rsid w:val="002445BD"/>
    <w:rsid w:val="002446C8"/>
    <w:rsid w:val="0025065E"/>
    <w:rsid w:val="00251051"/>
    <w:rsid w:val="0025325A"/>
    <w:rsid w:val="002553D2"/>
    <w:rsid w:val="002567DC"/>
    <w:rsid w:val="00270CCE"/>
    <w:rsid w:val="00274472"/>
    <w:rsid w:val="00277358"/>
    <w:rsid w:val="00282D3E"/>
    <w:rsid w:val="002845EF"/>
    <w:rsid w:val="002848A0"/>
    <w:rsid w:val="00284EFD"/>
    <w:rsid w:val="0029009C"/>
    <w:rsid w:val="0029265D"/>
    <w:rsid w:val="002A1975"/>
    <w:rsid w:val="002A43CE"/>
    <w:rsid w:val="002A53A0"/>
    <w:rsid w:val="002A7F53"/>
    <w:rsid w:val="002B19CF"/>
    <w:rsid w:val="002B38AE"/>
    <w:rsid w:val="002C45F1"/>
    <w:rsid w:val="002C567C"/>
    <w:rsid w:val="002C5C4F"/>
    <w:rsid w:val="002C76C9"/>
    <w:rsid w:val="002D08E3"/>
    <w:rsid w:val="002D4568"/>
    <w:rsid w:val="002D6821"/>
    <w:rsid w:val="002E1828"/>
    <w:rsid w:val="002E3427"/>
    <w:rsid w:val="002E4B1D"/>
    <w:rsid w:val="002F1E7D"/>
    <w:rsid w:val="002F278F"/>
    <w:rsid w:val="002F297D"/>
    <w:rsid w:val="002F5F5D"/>
    <w:rsid w:val="002F6B04"/>
    <w:rsid w:val="002F733B"/>
    <w:rsid w:val="00303864"/>
    <w:rsid w:val="003038B8"/>
    <w:rsid w:val="00311AD5"/>
    <w:rsid w:val="0031274B"/>
    <w:rsid w:val="003127BE"/>
    <w:rsid w:val="003134C3"/>
    <w:rsid w:val="00315DC5"/>
    <w:rsid w:val="00320A2B"/>
    <w:rsid w:val="00321CD8"/>
    <w:rsid w:val="003233D6"/>
    <w:rsid w:val="0033161F"/>
    <w:rsid w:val="00333771"/>
    <w:rsid w:val="00336330"/>
    <w:rsid w:val="00342D56"/>
    <w:rsid w:val="00343A78"/>
    <w:rsid w:val="00344EA8"/>
    <w:rsid w:val="003535C9"/>
    <w:rsid w:val="00355ADD"/>
    <w:rsid w:val="00362E02"/>
    <w:rsid w:val="00364ED6"/>
    <w:rsid w:val="00374898"/>
    <w:rsid w:val="00374DAA"/>
    <w:rsid w:val="003930C5"/>
    <w:rsid w:val="00393415"/>
    <w:rsid w:val="003A10A2"/>
    <w:rsid w:val="003A2D4D"/>
    <w:rsid w:val="003B2ABC"/>
    <w:rsid w:val="003B6649"/>
    <w:rsid w:val="003B7539"/>
    <w:rsid w:val="003C098A"/>
    <w:rsid w:val="003C6ECF"/>
    <w:rsid w:val="003D0DC9"/>
    <w:rsid w:val="003D299D"/>
    <w:rsid w:val="003E02B7"/>
    <w:rsid w:val="003E3140"/>
    <w:rsid w:val="003E3492"/>
    <w:rsid w:val="003E3D6A"/>
    <w:rsid w:val="003F784C"/>
    <w:rsid w:val="00401C76"/>
    <w:rsid w:val="00402E11"/>
    <w:rsid w:val="0040694A"/>
    <w:rsid w:val="004117C5"/>
    <w:rsid w:val="004117D5"/>
    <w:rsid w:val="00412822"/>
    <w:rsid w:val="00414AB0"/>
    <w:rsid w:val="00420055"/>
    <w:rsid w:val="004238FC"/>
    <w:rsid w:val="00425449"/>
    <w:rsid w:val="0043009F"/>
    <w:rsid w:val="0043074A"/>
    <w:rsid w:val="00432B78"/>
    <w:rsid w:val="00436DBB"/>
    <w:rsid w:val="0044228F"/>
    <w:rsid w:val="004447A3"/>
    <w:rsid w:val="00445307"/>
    <w:rsid w:val="00446A09"/>
    <w:rsid w:val="0045182A"/>
    <w:rsid w:val="0045333C"/>
    <w:rsid w:val="00457126"/>
    <w:rsid w:val="0046014E"/>
    <w:rsid w:val="004607CE"/>
    <w:rsid w:val="00471475"/>
    <w:rsid w:val="00472F59"/>
    <w:rsid w:val="00473A5C"/>
    <w:rsid w:val="00485421"/>
    <w:rsid w:val="004857A7"/>
    <w:rsid w:val="00492E3E"/>
    <w:rsid w:val="004B43F2"/>
    <w:rsid w:val="004B526A"/>
    <w:rsid w:val="004B5FBA"/>
    <w:rsid w:val="004C4B9B"/>
    <w:rsid w:val="004C56BC"/>
    <w:rsid w:val="004D0FEF"/>
    <w:rsid w:val="004D2AB8"/>
    <w:rsid w:val="004D3488"/>
    <w:rsid w:val="004E77C5"/>
    <w:rsid w:val="004E7D71"/>
    <w:rsid w:val="004F456E"/>
    <w:rsid w:val="004F565E"/>
    <w:rsid w:val="00503FC1"/>
    <w:rsid w:val="005051B1"/>
    <w:rsid w:val="005068BB"/>
    <w:rsid w:val="00514455"/>
    <w:rsid w:val="005173D2"/>
    <w:rsid w:val="00522FAF"/>
    <w:rsid w:val="00523434"/>
    <w:rsid w:val="005267C8"/>
    <w:rsid w:val="00526D07"/>
    <w:rsid w:val="00526D26"/>
    <w:rsid w:val="00530252"/>
    <w:rsid w:val="00532F3E"/>
    <w:rsid w:val="005470E3"/>
    <w:rsid w:val="0054725A"/>
    <w:rsid w:val="005479F3"/>
    <w:rsid w:val="00550E3E"/>
    <w:rsid w:val="00551797"/>
    <w:rsid w:val="00552BDE"/>
    <w:rsid w:val="00553548"/>
    <w:rsid w:val="00555620"/>
    <w:rsid w:val="00556790"/>
    <w:rsid w:val="00561ECB"/>
    <w:rsid w:val="00565C1D"/>
    <w:rsid w:val="00567E83"/>
    <w:rsid w:val="005778BE"/>
    <w:rsid w:val="00581958"/>
    <w:rsid w:val="00590789"/>
    <w:rsid w:val="005A639D"/>
    <w:rsid w:val="005B247F"/>
    <w:rsid w:val="005B3C79"/>
    <w:rsid w:val="005B4EDC"/>
    <w:rsid w:val="005C0202"/>
    <w:rsid w:val="005C15AD"/>
    <w:rsid w:val="005C3CA2"/>
    <w:rsid w:val="005C4295"/>
    <w:rsid w:val="005C6787"/>
    <w:rsid w:val="005D5617"/>
    <w:rsid w:val="005D5BA8"/>
    <w:rsid w:val="005E5864"/>
    <w:rsid w:val="005F1FF8"/>
    <w:rsid w:val="005F3732"/>
    <w:rsid w:val="005F6BDF"/>
    <w:rsid w:val="005F799D"/>
    <w:rsid w:val="006007C2"/>
    <w:rsid w:val="00600B0A"/>
    <w:rsid w:val="00604C56"/>
    <w:rsid w:val="00605B57"/>
    <w:rsid w:val="006063A1"/>
    <w:rsid w:val="00607028"/>
    <w:rsid w:val="006142F2"/>
    <w:rsid w:val="00616743"/>
    <w:rsid w:val="00620DFB"/>
    <w:rsid w:val="00621232"/>
    <w:rsid w:val="006213AD"/>
    <w:rsid w:val="00623871"/>
    <w:rsid w:val="00632031"/>
    <w:rsid w:val="00632B80"/>
    <w:rsid w:val="00640D9C"/>
    <w:rsid w:val="0064621F"/>
    <w:rsid w:val="0064631D"/>
    <w:rsid w:val="006510E0"/>
    <w:rsid w:val="00652314"/>
    <w:rsid w:val="00655FEF"/>
    <w:rsid w:val="00661ABE"/>
    <w:rsid w:val="00661C91"/>
    <w:rsid w:val="00666195"/>
    <w:rsid w:val="006673F4"/>
    <w:rsid w:val="006700B4"/>
    <w:rsid w:val="006723CC"/>
    <w:rsid w:val="0067426A"/>
    <w:rsid w:val="006767DA"/>
    <w:rsid w:val="00677644"/>
    <w:rsid w:val="00681335"/>
    <w:rsid w:val="00681441"/>
    <w:rsid w:val="00687420"/>
    <w:rsid w:val="006874E5"/>
    <w:rsid w:val="006925FF"/>
    <w:rsid w:val="006958AA"/>
    <w:rsid w:val="006A0158"/>
    <w:rsid w:val="006A2E1A"/>
    <w:rsid w:val="006A352B"/>
    <w:rsid w:val="006A4314"/>
    <w:rsid w:val="006B139B"/>
    <w:rsid w:val="006B1D9A"/>
    <w:rsid w:val="006B28FB"/>
    <w:rsid w:val="006B3CAC"/>
    <w:rsid w:val="006B4F2B"/>
    <w:rsid w:val="006B766C"/>
    <w:rsid w:val="006C2294"/>
    <w:rsid w:val="006C57CF"/>
    <w:rsid w:val="006C7085"/>
    <w:rsid w:val="006D46D4"/>
    <w:rsid w:val="006E1A82"/>
    <w:rsid w:val="006E7EED"/>
    <w:rsid w:val="006F03E1"/>
    <w:rsid w:val="006F0FDB"/>
    <w:rsid w:val="006F4187"/>
    <w:rsid w:val="006F4E4D"/>
    <w:rsid w:val="006F5CBF"/>
    <w:rsid w:val="006F71E9"/>
    <w:rsid w:val="007001D5"/>
    <w:rsid w:val="00700257"/>
    <w:rsid w:val="007037A4"/>
    <w:rsid w:val="00706069"/>
    <w:rsid w:val="0071157B"/>
    <w:rsid w:val="00711655"/>
    <w:rsid w:val="00714934"/>
    <w:rsid w:val="00715B4E"/>
    <w:rsid w:val="00715E6C"/>
    <w:rsid w:val="007160B8"/>
    <w:rsid w:val="00720AA2"/>
    <w:rsid w:val="00725EFD"/>
    <w:rsid w:val="00727C8A"/>
    <w:rsid w:val="0073355C"/>
    <w:rsid w:val="00735626"/>
    <w:rsid w:val="007423B6"/>
    <w:rsid w:val="00743F82"/>
    <w:rsid w:val="007533F0"/>
    <w:rsid w:val="00754573"/>
    <w:rsid w:val="00755821"/>
    <w:rsid w:val="00764DD7"/>
    <w:rsid w:val="0076730E"/>
    <w:rsid w:val="007700B4"/>
    <w:rsid w:val="00773547"/>
    <w:rsid w:val="00776324"/>
    <w:rsid w:val="00776818"/>
    <w:rsid w:val="007971F0"/>
    <w:rsid w:val="007976EB"/>
    <w:rsid w:val="007B0572"/>
    <w:rsid w:val="007B057B"/>
    <w:rsid w:val="007B0EC0"/>
    <w:rsid w:val="007B4D9A"/>
    <w:rsid w:val="007B7ACE"/>
    <w:rsid w:val="007C5403"/>
    <w:rsid w:val="007D3757"/>
    <w:rsid w:val="007E0A56"/>
    <w:rsid w:val="007E1C1C"/>
    <w:rsid w:val="007E1C5A"/>
    <w:rsid w:val="007E45CB"/>
    <w:rsid w:val="007E4AFD"/>
    <w:rsid w:val="007F0380"/>
    <w:rsid w:val="007F120D"/>
    <w:rsid w:val="007F21F0"/>
    <w:rsid w:val="0080149D"/>
    <w:rsid w:val="00810000"/>
    <w:rsid w:val="00811E3E"/>
    <w:rsid w:val="00813FA1"/>
    <w:rsid w:val="0081758F"/>
    <w:rsid w:val="008235A8"/>
    <w:rsid w:val="008236F6"/>
    <w:rsid w:val="008265CF"/>
    <w:rsid w:val="008313D0"/>
    <w:rsid w:val="008357E4"/>
    <w:rsid w:val="0084158A"/>
    <w:rsid w:val="00842B99"/>
    <w:rsid w:val="00856E5E"/>
    <w:rsid w:val="00863CAF"/>
    <w:rsid w:val="00866BDC"/>
    <w:rsid w:val="00871CD0"/>
    <w:rsid w:val="00872E06"/>
    <w:rsid w:val="00873B24"/>
    <w:rsid w:val="00876B88"/>
    <w:rsid w:val="00881244"/>
    <w:rsid w:val="00885254"/>
    <w:rsid w:val="00885965"/>
    <w:rsid w:val="00887680"/>
    <w:rsid w:val="008905BE"/>
    <w:rsid w:val="00891A9A"/>
    <w:rsid w:val="00897D0D"/>
    <w:rsid w:val="008A4935"/>
    <w:rsid w:val="008A5194"/>
    <w:rsid w:val="008C1B21"/>
    <w:rsid w:val="008C35DF"/>
    <w:rsid w:val="008C72C4"/>
    <w:rsid w:val="008D04EC"/>
    <w:rsid w:val="008D1EF0"/>
    <w:rsid w:val="00900815"/>
    <w:rsid w:val="00901B17"/>
    <w:rsid w:val="00902E30"/>
    <w:rsid w:val="00907FBA"/>
    <w:rsid w:val="00914221"/>
    <w:rsid w:val="00920A37"/>
    <w:rsid w:val="00921036"/>
    <w:rsid w:val="0092165C"/>
    <w:rsid w:val="00922CDA"/>
    <w:rsid w:val="00922D4D"/>
    <w:rsid w:val="00930140"/>
    <w:rsid w:val="00930186"/>
    <w:rsid w:val="009327A4"/>
    <w:rsid w:val="009334B8"/>
    <w:rsid w:val="00943E79"/>
    <w:rsid w:val="00945F84"/>
    <w:rsid w:val="00946349"/>
    <w:rsid w:val="00952629"/>
    <w:rsid w:val="00954F8C"/>
    <w:rsid w:val="009618A7"/>
    <w:rsid w:val="00965F25"/>
    <w:rsid w:val="00966ACD"/>
    <w:rsid w:val="00966CDF"/>
    <w:rsid w:val="009834C7"/>
    <w:rsid w:val="00983994"/>
    <w:rsid w:val="00991B3C"/>
    <w:rsid w:val="00991BE7"/>
    <w:rsid w:val="00994791"/>
    <w:rsid w:val="009A4424"/>
    <w:rsid w:val="009A4F8D"/>
    <w:rsid w:val="009A6B36"/>
    <w:rsid w:val="009A7756"/>
    <w:rsid w:val="009A7A22"/>
    <w:rsid w:val="009B159C"/>
    <w:rsid w:val="009B1C42"/>
    <w:rsid w:val="009B305D"/>
    <w:rsid w:val="009B41CC"/>
    <w:rsid w:val="009B64F5"/>
    <w:rsid w:val="009B7912"/>
    <w:rsid w:val="009C470F"/>
    <w:rsid w:val="009C7D8A"/>
    <w:rsid w:val="009D3101"/>
    <w:rsid w:val="009D5577"/>
    <w:rsid w:val="009D7F58"/>
    <w:rsid w:val="009E09FA"/>
    <w:rsid w:val="009E0F47"/>
    <w:rsid w:val="009E0F9C"/>
    <w:rsid w:val="009E591D"/>
    <w:rsid w:val="009E5B1F"/>
    <w:rsid w:val="009E6A5A"/>
    <w:rsid w:val="009E7FB8"/>
    <w:rsid w:val="009F3429"/>
    <w:rsid w:val="009F50CE"/>
    <w:rsid w:val="009F5FD4"/>
    <w:rsid w:val="00A00F82"/>
    <w:rsid w:val="00A01299"/>
    <w:rsid w:val="00A05429"/>
    <w:rsid w:val="00A1042F"/>
    <w:rsid w:val="00A11213"/>
    <w:rsid w:val="00A129B0"/>
    <w:rsid w:val="00A13023"/>
    <w:rsid w:val="00A214E7"/>
    <w:rsid w:val="00A2169C"/>
    <w:rsid w:val="00A21880"/>
    <w:rsid w:val="00A25A45"/>
    <w:rsid w:val="00A25FF1"/>
    <w:rsid w:val="00A27857"/>
    <w:rsid w:val="00A367E1"/>
    <w:rsid w:val="00A37F4A"/>
    <w:rsid w:val="00A407E4"/>
    <w:rsid w:val="00A41569"/>
    <w:rsid w:val="00A42553"/>
    <w:rsid w:val="00A45D9D"/>
    <w:rsid w:val="00A47487"/>
    <w:rsid w:val="00A50DE5"/>
    <w:rsid w:val="00A6472C"/>
    <w:rsid w:val="00A65B27"/>
    <w:rsid w:val="00A81069"/>
    <w:rsid w:val="00A8133C"/>
    <w:rsid w:val="00A8203C"/>
    <w:rsid w:val="00A82B93"/>
    <w:rsid w:val="00A8338C"/>
    <w:rsid w:val="00A86B62"/>
    <w:rsid w:val="00A86B9D"/>
    <w:rsid w:val="00A874E3"/>
    <w:rsid w:val="00A90752"/>
    <w:rsid w:val="00A93A72"/>
    <w:rsid w:val="00AA27A2"/>
    <w:rsid w:val="00AA2FBB"/>
    <w:rsid w:val="00AB1A26"/>
    <w:rsid w:val="00AB2B28"/>
    <w:rsid w:val="00AB4642"/>
    <w:rsid w:val="00AB6434"/>
    <w:rsid w:val="00AC00FB"/>
    <w:rsid w:val="00AC0DF5"/>
    <w:rsid w:val="00AC2E90"/>
    <w:rsid w:val="00AC5F1D"/>
    <w:rsid w:val="00AC7744"/>
    <w:rsid w:val="00AC7C1E"/>
    <w:rsid w:val="00AD5EF6"/>
    <w:rsid w:val="00AD72EA"/>
    <w:rsid w:val="00AE1A15"/>
    <w:rsid w:val="00AE21EF"/>
    <w:rsid w:val="00AE267E"/>
    <w:rsid w:val="00AE4096"/>
    <w:rsid w:val="00AE71B3"/>
    <w:rsid w:val="00AF2F6E"/>
    <w:rsid w:val="00AF30EB"/>
    <w:rsid w:val="00AF4AC8"/>
    <w:rsid w:val="00B018BE"/>
    <w:rsid w:val="00B02750"/>
    <w:rsid w:val="00B07839"/>
    <w:rsid w:val="00B11689"/>
    <w:rsid w:val="00B20733"/>
    <w:rsid w:val="00B22343"/>
    <w:rsid w:val="00B23F3F"/>
    <w:rsid w:val="00B25E1A"/>
    <w:rsid w:val="00B3528D"/>
    <w:rsid w:val="00B43CE3"/>
    <w:rsid w:val="00B455A3"/>
    <w:rsid w:val="00B461E9"/>
    <w:rsid w:val="00B511DB"/>
    <w:rsid w:val="00B604A4"/>
    <w:rsid w:val="00B6094C"/>
    <w:rsid w:val="00B64F39"/>
    <w:rsid w:val="00B65C5E"/>
    <w:rsid w:val="00B700CC"/>
    <w:rsid w:val="00B70331"/>
    <w:rsid w:val="00B73F77"/>
    <w:rsid w:val="00B8644F"/>
    <w:rsid w:val="00B93338"/>
    <w:rsid w:val="00BA5751"/>
    <w:rsid w:val="00BA63C4"/>
    <w:rsid w:val="00BB288D"/>
    <w:rsid w:val="00BB5E03"/>
    <w:rsid w:val="00BC1FA8"/>
    <w:rsid w:val="00BC2B06"/>
    <w:rsid w:val="00BC2CFF"/>
    <w:rsid w:val="00BC5817"/>
    <w:rsid w:val="00BD1655"/>
    <w:rsid w:val="00BD1779"/>
    <w:rsid w:val="00BD2992"/>
    <w:rsid w:val="00BD5170"/>
    <w:rsid w:val="00BD7934"/>
    <w:rsid w:val="00BE0F95"/>
    <w:rsid w:val="00BE333B"/>
    <w:rsid w:val="00BE6310"/>
    <w:rsid w:val="00BF2227"/>
    <w:rsid w:val="00BF59F4"/>
    <w:rsid w:val="00C063D1"/>
    <w:rsid w:val="00C07CE2"/>
    <w:rsid w:val="00C07ED5"/>
    <w:rsid w:val="00C10532"/>
    <w:rsid w:val="00C11DB8"/>
    <w:rsid w:val="00C15EA5"/>
    <w:rsid w:val="00C15F69"/>
    <w:rsid w:val="00C161E1"/>
    <w:rsid w:val="00C21BFF"/>
    <w:rsid w:val="00C25F3F"/>
    <w:rsid w:val="00C3584D"/>
    <w:rsid w:val="00C4480E"/>
    <w:rsid w:val="00C50C63"/>
    <w:rsid w:val="00C528FB"/>
    <w:rsid w:val="00C60F4E"/>
    <w:rsid w:val="00C65462"/>
    <w:rsid w:val="00C70B69"/>
    <w:rsid w:val="00C872BA"/>
    <w:rsid w:val="00C908AB"/>
    <w:rsid w:val="00C90E75"/>
    <w:rsid w:val="00C9248C"/>
    <w:rsid w:val="00C9445F"/>
    <w:rsid w:val="00C94ED5"/>
    <w:rsid w:val="00C9636D"/>
    <w:rsid w:val="00C977F0"/>
    <w:rsid w:val="00CA25A9"/>
    <w:rsid w:val="00CA787E"/>
    <w:rsid w:val="00CC1FEA"/>
    <w:rsid w:val="00CD30D5"/>
    <w:rsid w:val="00CD36F4"/>
    <w:rsid w:val="00CD4D03"/>
    <w:rsid w:val="00CE0FC9"/>
    <w:rsid w:val="00CE4469"/>
    <w:rsid w:val="00CE6AFF"/>
    <w:rsid w:val="00CE6DFF"/>
    <w:rsid w:val="00CF03EF"/>
    <w:rsid w:val="00CF1876"/>
    <w:rsid w:val="00CF1958"/>
    <w:rsid w:val="00CF2C8A"/>
    <w:rsid w:val="00CF66F5"/>
    <w:rsid w:val="00CF7087"/>
    <w:rsid w:val="00CF7256"/>
    <w:rsid w:val="00D062C9"/>
    <w:rsid w:val="00D0672C"/>
    <w:rsid w:val="00D07637"/>
    <w:rsid w:val="00D112EC"/>
    <w:rsid w:val="00D16DEC"/>
    <w:rsid w:val="00D203DC"/>
    <w:rsid w:val="00D218C8"/>
    <w:rsid w:val="00D21D33"/>
    <w:rsid w:val="00D26A6C"/>
    <w:rsid w:val="00D3155F"/>
    <w:rsid w:val="00D332FD"/>
    <w:rsid w:val="00D35C79"/>
    <w:rsid w:val="00D37AF3"/>
    <w:rsid w:val="00D4029B"/>
    <w:rsid w:val="00D47B10"/>
    <w:rsid w:val="00D600C3"/>
    <w:rsid w:val="00D6206B"/>
    <w:rsid w:val="00D64C7A"/>
    <w:rsid w:val="00D65069"/>
    <w:rsid w:val="00D662E7"/>
    <w:rsid w:val="00D71808"/>
    <w:rsid w:val="00D72B3E"/>
    <w:rsid w:val="00D73177"/>
    <w:rsid w:val="00D734E3"/>
    <w:rsid w:val="00D73729"/>
    <w:rsid w:val="00D77634"/>
    <w:rsid w:val="00D77FAE"/>
    <w:rsid w:val="00D81D26"/>
    <w:rsid w:val="00D8791F"/>
    <w:rsid w:val="00D90377"/>
    <w:rsid w:val="00D94422"/>
    <w:rsid w:val="00DA5EF3"/>
    <w:rsid w:val="00DB285E"/>
    <w:rsid w:val="00DC25EE"/>
    <w:rsid w:val="00DC6322"/>
    <w:rsid w:val="00DC6ED9"/>
    <w:rsid w:val="00DD4AE9"/>
    <w:rsid w:val="00DD5BFA"/>
    <w:rsid w:val="00DD7312"/>
    <w:rsid w:val="00DE1581"/>
    <w:rsid w:val="00DE656A"/>
    <w:rsid w:val="00DE6FCF"/>
    <w:rsid w:val="00DE7D37"/>
    <w:rsid w:val="00DF0C2D"/>
    <w:rsid w:val="00E020E9"/>
    <w:rsid w:val="00E021CF"/>
    <w:rsid w:val="00E13BA0"/>
    <w:rsid w:val="00E20546"/>
    <w:rsid w:val="00E24068"/>
    <w:rsid w:val="00E30F3B"/>
    <w:rsid w:val="00E36421"/>
    <w:rsid w:val="00E456C2"/>
    <w:rsid w:val="00E45C05"/>
    <w:rsid w:val="00E46786"/>
    <w:rsid w:val="00E515ED"/>
    <w:rsid w:val="00E57EBD"/>
    <w:rsid w:val="00E63AC6"/>
    <w:rsid w:val="00E64324"/>
    <w:rsid w:val="00E66690"/>
    <w:rsid w:val="00E669A2"/>
    <w:rsid w:val="00E66B54"/>
    <w:rsid w:val="00E71D55"/>
    <w:rsid w:val="00E732BA"/>
    <w:rsid w:val="00E874D5"/>
    <w:rsid w:val="00E90514"/>
    <w:rsid w:val="00EA10DF"/>
    <w:rsid w:val="00EA211E"/>
    <w:rsid w:val="00EA527F"/>
    <w:rsid w:val="00EA750C"/>
    <w:rsid w:val="00EB04F2"/>
    <w:rsid w:val="00EB1B69"/>
    <w:rsid w:val="00EB485A"/>
    <w:rsid w:val="00EB5C77"/>
    <w:rsid w:val="00EC28DA"/>
    <w:rsid w:val="00EC7F4C"/>
    <w:rsid w:val="00ED1901"/>
    <w:rsid w:val="00ED68EE"/>
    <w:rsid w:val="00EE2DD2"/>
    <w:rsid w:val="00EF1F68"/>
    <w:rsid w:val="00F0415B"/>
    <w:rsid w:val="00F139DF"/>
    <w:rsid w:val="00F1742A"/>
    <w:rsid w:val="00F17FF3"/>
    <w:rsid w:val="00F21FE6"/>
    <w:rsid w:val="00F3134E"/>
    <w:rsid w:val="00F316E0"/>
    <w:rsid w:val="00F323E6"/>
    <w:rsid w:val="00F32B52"/>
    <w:rsid w:val="00F41046"/>
    <w:rsid w:val="00F4114D"/>
    <w:rsid w:val="00F41323"/>
    <w:rsid w:val="00F456B9"/>
    <w:rsid w:val="00F51DC1"/>
    <w:rsid w:val="00F5253B"/>
    <w:rsid w:val="00F54578"/>
    <w:rsid w:val="00F64A3B"/>
    <w:rsid w:val="00F67AC3"/>
    <w:rsid w:val="00F71466"/>
    <w:rsid w:val="00F7264F"/>
    <w:rsid w:val="00F73745"/>
    <w:rsid w:val="00F7376E"/>
    <w:rsid w:val="00F74AD6"/>
    <w:rsid w:val="00F761A7"/>
    <w:rsid w:val="00F87209"/>
    <w:rsid w:val="00F87809"/>
    <w:rsid w:val="00F903B7"/>
    <w:rsid w:val="00F92F81"/>
    <w:rsid w:val="00F93071"/>
    <w:rsid w:val="00F96572"/>
    <w:rsid w:val="00FA0323"/>
    <w:rsid w:val="00FA6231"/>
    <w:rsid w:val="00FB2BDC"/>
    <w:rsid w:val="00FB5E2C"/>
    <w:rsid w:val="00FD3C01"/>
    <w:rsid w:val="00FE4021"/>
    <w:rsid w:val="00FE7A10"/>
    <w:rsid w:val="00FF560F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903,#a50021"/>
    </o:shapedefaults>
    <o:shapelayout v:ext="edit">
      <o:idmap v:ext="edit" data="1"/>
    </o:shapelayout>
  </w:shapeDefaults>
  <w:decimalSymbol w:val="."/>
  <w:listSeparator w:val=","/>
  <w14:docId w14:val="14CFA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paragraph" w:styleId="BalloonText">
    <w:name w:val="Balloon Text"/>
    <w:basedOn w:val="Normal"/>
    <w:link w:val="BalloonTextChar"/>
    <w:rsid w:val="00AE2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21EF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160DF0"/>
    <w:rPr>
      <w:rFonts w:ascii="Arial" w:hAnsi="Arial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E3492"/>
    <w:pPr>
      <w:ind w:left="720"/>
    </w:pPr>
  </w:style>
  <w:style w:type="character" w:styleId="Hyperlink">
    <w:name w:val="Hyperlink"/>
    <w:rsid w:val="003E3492"/>
    <w:rPr>
      <w:color w:val="0000FF"/>
      <w:u w:val="single"/>
    </w:rPr>
  </w:style>
  <w:style w:type="character" w:styleId="Emphasis">
    <w:name w:val="Emphasis"/>
    <w:uiPriority w:val="20"/>
    <w:qFormat/>
    <w:rsid w:val="00687420"/>
    <w:rPr>
      <w:i/>
      <w:iCs/>
    </w:rPr>
  </w:style>
  <w:style w:type="paragraph" w:styleId="NormalWeb">
    <w:name w:val="Normal (Web)"/>
    <w:basedOn w:val="Normal"/>
    <w:uiPriority w:val="99"/>
    <w:unhideWhenUsed/>
    <w:rsid w:val="0068742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Heading1Char">
    <w:name w:val="Heading 1 Char"/>
    <w:link w:val="Heading1"/>
    <w:rsid w:val="00720AA2"/>
    <w:rPr>
      <w:rFonts w:ascii="Arial" w:hAnsi="Arial"/>
      <w:b/>
      <w:kern w:val="28"/>
      <w:sz w:val="28"/>
      <w:lang w:eastAsia="en-US"/>
    </w:rPr>
  </w:style>
  <w:style w:type="character" w:styleId="Strong">
    <w:name w:val="Strong"/>
    <w:qFormat/>
    <w:rsid w:val="00813FA1"/>
    <w:rPr>
      <w:b/>
      <w:bCs/>
    </w:rPr>
  </w:style>
  <w:style w:type="paragraph" w:styleId="Revision">
    <w:name w:val="Revision"/>
    <w:hidden/>
    <w:uiPriority w:val="99"/>
    <w:semiHidden/>
    <w:rsid w:val="00FF560F"/>
    <w:rPr>
      <w:rFonts w:ascii="Arial" w:hAnsi="Arial"/>
      <w:lang w:val="en-GB"/>
    </w:rPr>
  </w:style>
  <w:style w:type="character" w:styleId="CommentReference">
    <w:name w:val="annotation reference"/>
    <w:rsid w:val="00236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572"/>
  </w:style>
  <w:style w:type="character" w:customStyle="1" w:styleId="CommentTextChar">
    <w:name w:val="Comment Text Char"/>
    <w:link w:val="CommentText"/>
    <w:rsid w:val="0023657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572"/>
    <w:rPr>
      <w:b/>
      <w:bCs/>
    </w:rPr>
  </w:style>
  <w:style w:type="character" w:customStyle="1" w:styleId="CommentSubjectChar">
    <w:name w:val="Comment Subject Char"/>
    <w:link w:val="CommentSubject"/>
    <w:rsid w:val="00236572"/>
    <w:rPr>
      <w:rFonts w:ascii="Arial" w:hAnsi="Arial"/>
      <w:b/>
      <w:bCs/>
      <w:lang w:eastAsia="en-US"/>
    </w:rPr>
  </w:style>
  <w:style w:type="paragraph" w:customStyle="1" w:styleId="Heading3sub">
    <w:name w:val="Heading 3 sub"/>
    <w:basedOn w:val="Heading2"/>
    <w:next w:val="Normal"/>
    <w:rsid w:val="00E669A2"/>
    <w:pPr>
      <w:numPr>
        <w:ilvl w:val="0"/>
        <w:numId w:val="0"/>
      </w:numPr>
      <w:tabs>
        <w:tab w:val="num" w:pos="1224"/>
      </w:tabs>
      <w:spacing w:before="240" w:after="120"/>
      <w:ind w:left="1224" w:hanging="504"/>
    </w:pPr>
    <w:rPr>
      <w:b/>
      <w:kern w:val="28"/>
      <w:sz w:val="24"/>
      <w:lang w:eastAsia="en-GB"/>
    </w:rPr>
  </w:style>
  <w:style w:type="paragraph" w:customStyle="1" w:styleId="Heading2indent">
    <w:name w:val="Heading 2 indent"/>
    <w:rsid w:val="00E669A2"/>
    <w:pPr>
      <w:ind w:left="794"/>
    </w:pPr>
    <w:rPr>
      <w:rFonts w:ascii="Arial" w:hAnsi="Arial"/>
      <w:lang w:val="en-GB" w:eastAsia="en-GB"/>
    </w:rPr>
  </w:style>
  <w:style w:type="character" w:customStyle="1" w:styleId="Normal1">
    <w:name w:val="Normal1"/>
    <w:rsid w:val="00C4480E"/>
    <w:rPr>
      <w:rFonts w:ascii="Times" w:hAnsi="Times"/>
      <w:sz w:val="24"/>
    </w:rPr>
  </w:style>
  <w:style w:type="table" w:styleId="TableGrid">
    <w:name w:val="Table Grid"/>
    <w:basedOn w:val="TableNormal"/>
    <w:uiPriority w:val="59"/>
    <w:rsid w:val="006C57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66C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07319"/>
    <w:rPr>
      <w:lang w:eastAsia="en-US"/>
    </w:rPr>
  </w:style>
  <w:style w:type="character" w:customStyle="1" w:styleId="FooterChar">
    <w:name w:val="Footer Char"/>
    <w:link w:val="Footer"/>
    <w:rsid w:val="00F7264F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2019-06-02T21:59:00Z</dcterms:created>
  <dcterms:modified xsi:type="dcterms:W3CDTF">2019-06-02T21:59:00Z</dcterms:modified>
</cp:coreProperties>
</file>