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36"/>
        </w:rPr>
        <w:t>DAILY PRE-MARKET PORTFOLIO REPORT</w:t>
      </w:r>
    </w:p>
    <w:p>
      <w:pPr>
        <w:spacing w:after="20"/>
        <w:jc w:val="center"/>
      </w:pPr>
      <w:r>
        <w:rPr>
          <w:rFonts w:ascii="Calibri" w:hAnsi="Calibri"/>
          <w:i/>
          <w:color w:val="555555"/>
          <w:sz w:val="22"/>
        </w:rPr>
        <w:t>Long-Term Growth Portfolio  |  Active Wealth Management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20"/>
        </w:rPr>
        <w:t>Report Date: Tuesday, July 7, 2026  |  Benchmark: S&amp;P 500  |  Horizon: Long-Term Growth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1.  Market Snapshot — Pre-Market / Intraday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Index / Reference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 / Fut.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S&amp;P 500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7,503.85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-0.45%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Chip-led pullback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Nasdaq Comp.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25,818.69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-1.16%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Semis lead down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Dow Jones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52,925.15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-0.25%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Relative resilience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WTI crude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~$72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+5%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Iran oil-license pulled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Brent crude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~$76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+5%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Supply premium building</w:t>
            </w:r>
          </w:p>
        </w:tc>
      </w:tr>
    </w:tbl>
    <w:p>
      <w:pPr>
        <w:spacing w:after="80" w:before="40"/>
      </w:pPr>
      <w:r>
        <w:rPr>
          <w:rFonts w:ascii="Calibri" w:hAnsi="Calibri"/>
          <w:b/>
          <w:sz w:val="20"/>
        </w:rPr>
        <w:t xml:space="preserve">Macro lens (SOURCED). </w:t>
      </w:r>
      <w:r>
        <w:rPr>
          <w:rFonts w:ascii="Calibri" w:hAnsi="Calibri"/>
          <w:i w:val="0"/>
          <w:sz w:val="20"/>
        </w:rPr>
        <w:t>U.S. equities fell as a semiconductor rout led the tape. Samsung reported a roughly 19-fold profit jump but came up short of the most optimistic estimates; the KOSPI sold off and the weakness carried into U.S. chips. Micron closed -4.7%, with KLA, Marvell, Broadcom and AMD lower and the VanEck semiconductor ETF off more than 3%. Separately, oil extended gains after the U.S. revoked a license permitting Iranian oil sales: Brent and WTI each added more than 5%, to above $76 and $72 respectively. The move begins to challenge the standing energy-trim thesis, which was premised on WTI weakness. SpaceX joined the Nasdaq-100.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2.  Scan 1 — Holdings Review (Affected Names)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 / Catalyst (SOURCED)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Semis (MU, AVGO, TSM)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Chip rout on Samsung miss; MU -4.7%, semi ETF -3%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Sentiment-driven, not thesis. MU FQ3 blowout and HBM demand intact.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XOM, EOG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Oil +5% on Iran oil-license revocation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 tailwind emerging; the WTI-weakness premise behind the trim is eroding.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 / trim under review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NVDA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Held at 6.5% cap; drifts with semi complex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Thesis intact; already at single-stock cap.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MSFT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Bernstein PT $641, MS $650 (top pick), Wedbush $625; Azure +40% YoY.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ADD sub-check supported; entry &lt;=$380 not confirmed.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 (REC ADD pending)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UNH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MS raises PT to $468; fair value $492; Q2 Jul 16.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Pre-earnings; add deferred to avoid print timing risk.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3.  Scan 2 — New Opportunities &amp; Watchlist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Conf.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Entry / Stop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/ Pre-mortem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Semis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MU/MRVL pull back on Samsung read-through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On deeper pullback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1.0%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held names already cover AI-semi; pre-mortem: sentiment bounce leaves no entry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ANET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AI networking; StrongBuy consensus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≤$155 / $142 (-8%)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1.5%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~$160-165, above trigger; pre-mortem: wrong if AI-networking spend rerates first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GS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Q2 earnings imminent; mixed sell-side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Post-print clarity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1.5%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Oppenheimer cut Jun 30 vs WF PT $1,195; pre-mortem: wrong if IB rebound stalls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4.  Cash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If Approvals Execute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Cash weight (CONFIRMED)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13.5%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12.5% if MSFT add approved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IPS band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10.0%-20.0%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Within band either way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Posture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Reactive buffer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Dry powder for oil-driven dislocation</w:t>
            </w:r>
          </w:p>
        </w:tc>
      </w:tr>
    </w:tbl>
    <w:p>
      <w:pPr>
        <w:spacing w:after="80" w:before="40"/>
      </w:pPr>
      <w:r>
        <w:rPr>
          <w:rFonts w:ascii="Calibri" w:hAnsi="Calibri"/>
          <w:b/>
          <w:sz w:val="20"/>
        </w:rPr>
        <w:t xml:space="preserve">Rationale. </w:t>
      </w:r>
      <w:r>
        <w:rPr>
          <w:rFonts w:ascii="Calibri" w:hAnsi="Calibri"/>
          <w:i w:val="0"/>
          <w:sz w:val="20"/>
        </w:rPr>
        <w:t>Cash holds at 13.5% (CONFIRMED), inside the 10-20% band. The chip rout is sentiment-led and the oil move is the more durable variable; a reactive buffer is appropriate while the energy picture resets. No de-risk trigger (WTD drawdown &lt; -3%) was met.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5.  Pending Catalysts — Status 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Watch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UNH Q2 FY26 earnings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Thu Jul 16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Optum margin recovery, MLR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Active watch (~7 sessions)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 trim trigger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Under review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WTI reversed higher to ~$72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Thesis weakening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MSFT add to existing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Armed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Entry &lt;=$380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PENDING approval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GS Q2 earnings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~Mid-July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IB/trading rebound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(watchlist)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6.  Recommended Weight Changes (Today)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No weight changes were executed today. </w:t>
      </w:r>
      <w:r>
        <w:rPr>
          <w:rFonts w:ascii="Calibri" w:hAnsi="Calibri"/>
          <w:i w:val="0"/>
          <w:sz w:val="20"/>
        </w:rPr>
        <w:t>No Scan 2 entry trigger was cleanly met, so no autonomous new-position add was made. Two items remain open for manager approval and one is now under review: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1)  Energy trim (under review). </w:t>
      </w:r>
      <w:r>
        <w:rPr>
          <w:rFonts w:ascii="Calibri" w:hAnsi="Calibri"/>
          <w:i w:val="0"/>
          <w:sz w:val="20"/>
        </w:rPr>
        <w:t>The 3.0%-&gt;2.5% XOM / 2.5%-&gt;2.0% EOG trim, carried on WTI weakness, is challenged by oil’s +5% reversal after the Iranian oil-license revocation. Recommendation downgraded to UNDER REVIEW pending confirmation the move is more than a one-session spike.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2)  MSFT add to existing position (Conf MED-HIGH). </w:t>
      </w:r>
      <w:r>
        <w:rPr>
          <w:rFonts w:ascii="Calibri" w:hAnsi="Calibri"/>
          <w:i w:val="0"/>
          <w:sz w:val="20"/>
        </w:rPr>
        <w:t>4.0%-&gt;5.0% (+1.0%). Entry &lt;=$380; price stop -12% from entry; thesis stop = Azure growth &lt; 30% YoY; pre-mortem: wrong if capex intensity compresses FCF. Existing-position change — PENDING MANAGER APPROVAL.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3)  UNH add sub-check — DEFERRED (Conf MED). </w:t>
      </w:r>
      <w:r>
        <w:rPr>
          <w:rFonts w:ascii="Calibri" w:hAnsi="Calibri"/>
          <w:i w:val="0"/>
          <w:sz w:val="20"/>
        </w:rPr>
        <w:t>Sub-check condition (a) fired on fresh PT raises, but the add is deferred through the Jul 16 print to avoid earnings timing risk. HOLD 3.0%.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7.  Full Portfolio Table — 28 Positions + Cash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Sector (GICS)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Wt%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Sector (GICS)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Wt%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NVDA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6.5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SCHD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AMZN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Disc.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5.5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ORCL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META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MU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LLY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19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TSM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AVGO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20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EOG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MSFT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COST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Staples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PANW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DASH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Disc.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JPM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Financials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NEE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Utilities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9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QQQ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ABBV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10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GOOGL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NFLX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PLTR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CRWD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UNH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INTC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XOM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SPOT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V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Financials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CASH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Cash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13.5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VUG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60" w:after="60"/>
      </w:pPr>
      <w:r>
        <w:rPr>
          <w:rFonts w:ascii="Calibri" w:hAnsi="Calibri"/>
          <w:b/>
          <w:color w:val="0B6E3D"/>
          <w:sz w:val="18"/>
        </w:rPr>
        <w:t>Portfolio sum verified: 100.0% = 100.0%  ✓   |   Max single NVDA 6.5% ≤ 7.0%   |   Technology (GICS) 33.5% ≤ 35.0%   |   Cash 13.5% within 10.0–20.0%</w:t>
      </w:r>
    </w:p>
    <w:p>
      <w:pPr>
        <w:spacing w:after="80" w:before="40"/>
      </w:pPr>
      <w:r>
        <w:rPr>
          <w:rFonts w:ascii="Calibri" w:hAnsi="Calibri"/>
          <w:b/>
          <w:sz w:val="18"/>
        </w:rPr>
        <w:t xml:space="preserve">Sector flag (CALIBRATED classification). </w:t>
      </w:r>
      <w:r>
        <w:rPr>
          <w:rFonts w:ascii="Calibri" w:hAnsi="Calibri"/>
          <w:i w:val="0"/>
          <w:sz w:val="18"/>
        </w:rPr>
        <w:t>Under the tracker’s in-house labels (AMZN, GOOGL, CRWD, INTC grouped with Technology) the Technology bucket reads ~42.0%. On GICS, AMZN is Consumer Discretionary and GOOGL/META/NFLX/SPOT are Communication Services, placing true GICS Technology at 33.5%, inside the 35.0% cap. No GICS breach; no autonomous trade. Carried as a labeling reconciliation item.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8.  Sources &amp; Methodology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Market/close: TheStreet, CNBC, Yahoo Finance (Jul 7,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Semis/Samsung: TheStreet, CNBC (Jul 7,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Oil/Iran license: Yahoo Finance, CNBC (Jul 7,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MSFT: Bernstein, Morgan Stanley, Wedbush (Jun-Jul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UNH: Morgan Stanley, Yahoo Finance (Jul 7,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Watchlist: KeyBanc, BofA, Benzinga (Jun-Jul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Weights: WM_Growth_Portfolio_Apr2026.xlsx — Portfolio Overview (ground truth).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Provenance. </w:t>
      </w:r>
      <w:r>
        <w:rPr>
          <w:rFonts w:ascii="Calibri" w:hAnsi="Calibri"/>
          <w:i w:val="0"/>
          <w:sz w:val="20"/>
        </w:rPr>
        <w:t>SOURCED = live/delayed market data retrieved at write time. CONFIRMED = tracker ground-truth weights (Portfolio Overview). CALIBRATED = the sector-label reconciliation above; no CALIBRATED figure is presented as sourced. Weights are targets, not intraday marks.</w:t>
      </w:r>
    </w:p>
    <w:p>
      <w:pPr>
        <w:spacing w:before="80"/>
      </w:pPr>
      <w:r>
        <w:rPr>
          <w:rFonts w:ascii="Calibri" w:hAnsi="Calibri"/>
          <w:i/>
          <w:color w:val="777777"/>
          <w:sz w:val="16"/>
        </w:rPr>
        <w:t>This report is prepared for internal wealth-management use. It is not investment advice and not an offer to buy or sell any security. Prices and futures levels are approximate and retrieved pre-open; actual fills may differ. Past performance does not indicate future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