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36"/>
        </w:rPr>
        <w:t>DAILY PRE-MARKET PORTFOLIO REPORT</w:t>
      </w:r>
    </w:p>
    <w:p>
      <w:pPr>
        <w:spacing w:after="20"/>
        <w:jc w:val="center"/>
      </w:pPr>
      <w:r>
        <w:rPr>
          <w:rFonts w:ascii="Calibri" w:hAnsi="Calibri"/>
          <w:i/>
          <w:color w:val="555555"/>
          <w:sz w:val="22"/>
        </w:rPr>
        <w:t>Long-Term Growth Portfolio  |  Active Wealth Management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20"/>
        </w:rPr>
        <w:t>Report Date: Wednesday, July 8, 2026  |  Benchmark: S&amp;P 500  |  Horizon: Long-Term Growth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1.  Market Snapshot — Pre-Market / Intraday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Index / Reference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 / Fut.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S&amp;P 500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~7,428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-1.0%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Geopolitical risk-off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Nasdaq Comp.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-0.9%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Growth de-risking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Dow Jones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~52,100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-1.6% (-811)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Broad decline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WTI crude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~$74-76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+5-6%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Largest 1-day up since June</w:t>
            </w:r>
          </w:p>
        </w:tc>
      </w:tr>
      <w:tr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Brent crude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~$80</w:t>
            </w:r>
          </w:p>
        </w:tc>
        <w:tc>
          <w:tcPr>
            <w:tcW w:type="dxa" w:w="15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+8%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Hormuz supply premium</w:t>
            </w:r>
          </w:p>
        </w:tc>
      </w:tr>
    </w:tbl>
    <w:p>
      <w:pPr>
        <w:spacing w:after="80" w:before="40"/>
      </w:pPr>
      <w:r>
        <w:rPr>
          <w:rFonts w:ascii="Calibri" w:hAnsi="Calibri"/>
          <w:b/>
          <w:sz w:val="20"/>
        </w:rPr>
        <w:t xml:space="preserve">Macro lens (SOURCED). </w:t>
      </w:r>
      <w:r>
        <w:rPr>
          <w:rFonts w:ascii="Calibri" w:hAnsi="Calibri"/>
          <w:i w:val="0"/>
          <w:sz w:val="20"/>
        </w:rPr>
        <w:t>U.S. equities dropped after President Trump told the NATO summit the U.S.-Iran ceasefire is “over,” following U.S. strikes on Iran and attacks on three commercial vessels in the Strait of Hormuz. Oil surged: WTI jumped toward $74-76 — its largest one-day gain since early June — and Brent rose roughly 8% to about $80. Trump threatened further strikes. The Dow fell ~811 points (-1.6%), with the S&amp;P 500 -1% and the Nasdaq -0.9%. High-beta growth led the decline (PANW -5.2%, PLTR -4.7%, DASH -5%), while Broadcom (+4.5%) and Baker Hughes (+4.1%) traded higher on the AI/defense and energy bid. This is a Strait-of-Hormuz supply-shock regime — the same setup as the April rebalance — and it reverses the premise behind the energy trim.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2.  Scan 1 — Holdings Review (Affected Names)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Event / Catalyst (SOURCED)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Assessment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XOM, EOG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Oil +5-6%; WTI ~$74-76, Brent ~$80 on Hormuz reescalation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Energy-trim thesis (WTI weakness) invalidated. Positions benefit directly.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 — trim WITHDRAWN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AVGO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Broadcom +4.5% pre-market on AI/defense bid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Relative strength on a risk-off day; thesis intact at 4.0%.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PANW, PLTR, DASH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High-beta selloff: -5.2% / -4.7% / -5% pre-market (SOURCED).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Geopolitical de-risking, not fundamental; theses intact.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MSFT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Defensive-duration bid; Bernstein $641, MS $650, Wedbush $625.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ADD sub-check supported; entry &lt;=$380.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 (REC ADD pending)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NVDA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Held at 6.5% cap amid semi cross-currents.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Thesis intact; at single-stock cap.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  <w:tr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UNH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Q2 Jul 16 (6 sessions); MS PT $468, fair value $492.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Defensive characteristics; add deferred to post-print.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HOLD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3.  Scan 2 — New Opportunities &amp; Watchlist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Conf.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Entry / Stop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 / Pre-mortem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LMT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Citi upgrade to Buy, PT $582 (~14% upside); defense beneficiary of reescalation (SOURCED)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On confirmation / $520 stop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1.5%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NEW candidate — fits geopolitical regime; pre-mortem: wrong if ceasefire is restored within days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BKR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Baker Hughes +4.1%; oil-services bid on supply premium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LOW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On pullback / -8%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1.0%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extended intraday; pre-mortem: wrong if oil spike unwinds on de-escalation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GS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Q2 earnings imminent (~mid-July); WF PT $1,195, Oppenheimer cut Jun 30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Post-print clarity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1.5%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mixed sell-side; pre-mortem: wrong if IB/M&amp;A rebound stalls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ANET</w:t>
            </w:r>
          </w:p>
        </w:tc>
        <w:tc>
          <w:tcPr>
            <w:tcW w:type="dxa" w:w="27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AI networking; StrongBuy consensus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MED</w:t>
            </w:r>
          </w:p>
        </w:tc>
        <w:tc>
          <w:tcPr>
            <w:tcW w:type="dxa" w:w="187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≤$155 / $142 (-8%)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1.5%</w:t>
            </w:r>
          </w:p>
        </w:tc>
        <w:tc>
          <w:tcPr>
            <w:tcW w:type="dxa" w:w="31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— ~$160-165, above trigger in risk-off tape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4.  Cash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If Approvals Execute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Cash weight (CONFIRMED)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13.5%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12.5% if MSFT add approved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IPS band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10.0%-20.0%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Within band either way</w:t>
            </w:r>
          </w:p>
        </w:tc>
      </w:tr>
      <w:tr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De-risk trigger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WTD drawdown &lt; -3%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Not met (WTD ~ -1.5%)</w:t>
            </w:r>
          </w:p>
        </w:tc>
      </w:tr>
    </w:tbl>
    <w:p>
      <w:pPr>
        <w:spacing w:after="80" w:before="40"/>
      </w:pPr>
      <w:r>
        <w:rPr>
          <w:rFonts w:ascii="Calibri" w:hAnsi="Calibri"/>
          <w:b/>
          <w:sz w:val="20"/>
        </w:rPr>
        <w:t xml:space="preserve">Rationale. </w:t>
      </w:r>
      <w:r>
        <w:rPr>
          <w:rFonts w:ascii="Calibri" w:hAnsi="Calibri"/>
          <w:i w:val="0"/>
          <w:sz w:val="20"/>
        </w:rPr>
        <w:t>Cash holds at 13.5% (CONFIRMED), inside the 10-20% band. The geopolitical shock is risk-off, but the week-to-date drawdown (~-1.5%) has not reached the -3% de-risk trigger, so no cash raise is warranted. The energy book now works as a hedge to the oil spike rather than a trim candidate. Reactive buffer retained for any Hormuz-driven dislocation.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5.  Pending Catalysts — Status 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Watch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UNH Q2 FY26 earnings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Thu Jul 16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Optum margin, MLR guide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Active watch (6 sessions)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 trim trigger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WITHDRAWN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Oil spiked to ~$74-76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Thesis invalidated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MSFT add to existing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Armed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Entry &lt;=$380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PENDING approval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GS Q2 earnings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~Mid-July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IB/trading rebound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Watch (watchlist)</w:t>
            </w:r>
          </w:p>
        </w:tc>
      </w:tr>
      <w:tr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Middle East / Hormuz</w:t>
            </w:r>
          </w:p>
        </w:tc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Live</w:t>
            </w:r>
          </w:p>
        </w:tc>
        <w:tc>
          <w:tcPr>
            <w:tcW w:type="dxa" w:w="345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Further U.S.-Iran strikes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Monitor — oil supply premium</w:t>
            </w:r>
          </w:p>
        </w:tc>
      </w:tr>
    </w:tbl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6.  Recommended Weight Changes (Today)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No weight changes were executed today. </w:t>
      </w:r>
      <w:r>
        <w:rPr>
          <w:rFonts w:ascii="Calibri" w:hAnsi="Calibri"/>
          <w:i w:val="0"/>
          <w:sz w:val="20"/>
        </w:rPr>
        <w:t>No Scan 2 entry trigger was cleanly met in the risk-off tape, so no autonomous new-position add was made. The material change is a withdrawn recommendation, not a trade:</w:t>
      </w:r>
    </w:p>
    <w:p>
      <w:pPr>
        <w:spacing w:after="80" w:before="40"/>
      </w:pPr>
      <w:r>
        <w:rPr>
          <w:rFonts w:ascii="Calibri" w:hAnsi="Calibri"/>
          <w:b/>
          <w:color w:val="0B6E3D"/>
          <w:sz w:val="20"/>
        </w:rPr>
        <w:t xml:space="preserve">1)  Energy trim — WITHDRAWN. </w:t>
      </w:r>
      <w:r>
        <w:rPr>
          <w:rFonts w:ascii="Calibri" w:hAnsi="Calibri"/>
          <w:i w:val="0"/>
          <w:color w:val="0B6E3D"/>
          <w:sz w:val="20"/>
        </w:rPr>
        <w:t>The XOM 3.0%-&gt;2.5% / EOG 2.5%-&gt;2.0% trim, carried for ten sessions on WTI weakness, is withdrawn. Trump’s declaration that the Iran ceasefire is “over” pushed WTI to ~$74-76 and Brent to ~$80; the oil-weakness premise no longer holds. XOM (3.0%) and EOG (2.5%) are retained at target and now act as a portfolio hedge to the supply shock.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2)  MSFT add to existing position (Conf MED-HIGH). </w:t>
      </w:r>
      <w:r>
        <w:rPr>
          <w:rFonts w:ascii="Calibri" w:hAnsi="Calibri"/>
          <w:i w:val="0"/>
          <w:sz w:val="20"/>
        </w:rPr>
        <w:t>4.0%-&gt;5.0% (+1.0%). Entry &lt;=$380; price stop -12%; thesis stop = Azure growth &lt; 30% YoY; pre-mortem: wrong if capex intensity compresses FCF. Existing-position change — PENDING MANAGER APPROVAL.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3)  UNH add sub-check — DEFERRED (Conf MED). </w:t>
      </w:r>
      <w:r>
        <w:rPr>
          <w:rFonts w:ascii="Calibri" w:hAnsi="Calibri"/>
          <w:i w:val="0"/>
          <w:sz w:val="20"/>
        </w:rPr>
        <w:t>Fresh PT raises fire condition (a), but the add is deferred through the Jul 16 print. HOLD 3.0%.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4)  LMT — new Scan 2 candidate (Conf MED). </w:t>
      </w:r>
      <w:r>
        <w:rPr>
          <w:rFonts w:ascii="Calibri" w:hAnsi="Calibri"/>
          <w:i w:val="0"/>
          <w:sz w:val="20"/>
        </w:rPr>
        <w:t>Citi upgrade to Buy, PT $582. Proposed size 1.5%, entry on confirmed follow-through, price stop -8%, thesis stop = ceasefire restored, pre-mortem: wrong if de-escalation arrives within days. Not held; surfaced for review, no autonomous entry.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7.  Full Portfolio Table — 28 Positions + Cash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Sector (GICS)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Wt%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Sector (GICS)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Wt%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NVDA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6.5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SCHD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AMZN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Disc.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5.5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ORCL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META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MU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LLY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19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TSM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AVGO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20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EOG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MSFT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COST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Staples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PANW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DASH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Cons. Disc.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JPM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Financials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4.5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NEE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Utilities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2.0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9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QQQ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ABBV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10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GOOGL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NFLX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11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PLTR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26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CRWD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12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UNH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Health Care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27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INTC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Technology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13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XOM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Energy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28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SPOT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Comm. Svcs.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14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V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Financials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3.0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—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CASH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Cash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13.5</w:t>
            </w:r>
          </w:p>
        </w:tc>
      </w:tr>
      <w:tr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15</w:t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8"/>
              </w:rPr>
              <w:t>VUG</w:t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  <w:t>ETF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2.5</w:t>
            </w:r>
          </w:p>
        </w:tc>
        <w:tc>
          <w:tcPr>
            <w:tcW w:type="dxa" w:w="50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4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60" w:after="60"/>
      </w:pPr>
      <w:r>
        <w:rPr>
          <w:rFonts w:ascii="Calibri" w:hAnsi="Calibri"/>
          <w:b/>
          <w:color w:val="0B6E3D"/>
          <w:sz w:val="18"/>
        </w:rPr>
        <w:t>Portfolio sum verified: 100.0% = 100.0%  ✓   |   Max single NVDA 6.5% ≤ 7.0%   |   Technology (GICS) 33.5% ≤ 35.0%   |   Cash 13.5% within 10.0–20.0%</w:t>
      </w:r>
    </w:p>
    <w:p>
      <w:pPr>
        <w:spacing w:after="80" w:before="40"/>
      </w:pPr>
      <w:r>
        <w:rPr>
          <w:rFonts w:ascii="Calibri" w:hAnsi="Calibri"/>
          <w:b/>
          <w:sz w:val="18"/>
        </w:rPr>
        <w:t xml:space="preserve">Sector flag (CALIBRATED classification). </w:t>
      </w:r>
      <w:r>
        <w:rPr>
          <w:rFonts w:ascii="Calibri" w:hAnsi="Calibri"/>
          <w:i w:val="0"/>
          <w:sz w:val="18"/>
        </w:rPr>
        <w:t>Under the tracker’s in-house labels (AMZN, GOOGL, CRWD, INTC grouped with Technology) the Technology bucket reads ~42.0%. On GICS, AMZN is Consumer Discretionary and GOOGL/META/NFLX/SPOT are Communication Services, placing true GICS Technology at 33.5%, inside the 35.0% cap. No GICS breach; no autonomous trade. Carried as a labeling reconciliation item.</w:t>
      </w:r>
    </w:p>
    <w:p>
      <w:pPr>
        <w:pStyle w:val="Heading1"/>
        <w:spacing w:before="160" w:after="60"/>
      </w:pPr>
      <w:r>
        <w:rPr>
          <w:rFonts w:ascii="Calibri" w:hAnsi="Calibri"/>
          <w:b/>
          <w:color w:val="365F91"/>
          <w:sz w:val="28"/>
        </w:rPr>
        <w:t>8.  Sources &amp; Methodology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Market/futures: TheStreet, Yahoo Finance, CNBC, NBC News (Jul 8,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Iran/Hormuz/oil: NBC News, CBS News, Reuters (Jul 8,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Pre-market movers: Yahoo Finance, CNBC (Jul 8,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LMT/defense: Citi via Benzinga (Jul 8,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MSFT: Bernstein, Morgan Stanley, Wedbush (Jun-Jul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UNH: Morgan Stanley, MarketBeat (Jul 8,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GS: Benzinga, MarketBeat (Jun-Jul 2026).</w:t>
      </w:r>
    </w:p>
    <w:p>
      <w:pPr>
        <w:pStyle w:val="ListBullet"/>
        <w:spacing w:after="0"/>
      </w:pPr>
      <w:r>
        <w:rPr>
          <w:rFonts w:ascii="Calibri" w:hAnsi="Calibri"/>
          <w:sz w:val="17"/>
        </w:rPr>
        <w:t>Weights: WM_Growth_Portfolio_Apr2026.xlsx — Portfolio Overview (ground truth).</w:t>
      </w:r>
    </w:p>
    <w:p>
      <w:pPr>
        <w:spacing w:after="80" w:before="40"/>
      </w:pPr>
      <w:r>
        <w:rPr>
          <w:rFonts w:ascii="Calibri" w:hAnsi="Calibri"/>
          <w:b/>
          <w:sz w:val="20"/>
        </w:rPr>
        <w:t xml:space="preserve">Provenance. </w:t>
      </w:r>
      <w:r>
        <w:rPr>
          <w:rFonts w:ascii="Calibri" w:hAnsi="Calibri"/>
          <w:i w:val="0"/>
          <w:sz w:val="20"/>
        </w:rPr>
        <w:t>SOURCED = live/delayed market data retrieved at write time. CONFIRMED = tracker ground-truth weights (Portfolio Overview). CALIBRATED = the sector-label reconciliation above; no CALIBRATED figure is presented as sourced. Weights are targets, not intraday marks.</w:t>
      </w:r>
    </w:p>
    <w:p>
      <w:pPr>
        <w:spacing w:before="80"/>
      </w:pPr>
      <w:r>
        <w:rPr>
          <w:rFonts w:ascii="Calibri" w:hAnsi="Calibri"/>
          <w:i/>
          <w:color w:val="777777"/>
          <w:sz w:val="16"/>
        </w:rPr>
        <w:t>This report is prepared for internal wealth-management use. It is not investment advice and not an offer to buy or sell any security. Prices and futures levels are approximate and retrieved pre-open; actual fills may differ. Past performance does not indicate future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