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36"/>
          <w:szCs w:val="36"/>
        </w:rPr>
        <w:t xml:space="preserve">DAILY PRE-MARKET PORTFOLIO REPORT</w:t>
      </w:r>
    </w:p>
    <w:p>
      <w:pPr>
        <w:spacing w:after="20"/>
        <w:jc w:val="center"/>
      </w:pPr>
      <w:r>
        <w:rPr>
          <w:rFonts w:ascii="Calibri" w:cs="Calibri" w:eastAsia="Calibri" w:hAnsi="Calibri"/>
          <w:i/>
          <w:iCs/>
          <w:color w:val="555555"/>
          <w:sz w:val="22"/>
          <w:szCs w:val="22"/>
        </w:rPr>
        <w:t xml:space="preserve">Long-Term Growth Portfolio  |  Active Wealth Management</w:t>
      </w:r>
    </w:p>
    <w:p>
      <w:pPr>
        <w:spacing w:after="40"/>
        <w:jc w:val="center"/>
      </w:pPr>
      <w:r>
        <w:rPr>
          <w:rFonts w:ascii="Calibri" w:cs="Calibri" w:eastAsia="Calibri" w:hAnsi="Calibri"/>
          <w:color w:val="555555"/>
          <w:sz w:val="20"/>
          <w:szCs w:val="20"/>
        </w:rPr>
        <w:t xml:space="preserve">Report Date: Wednesday, July 1, 2026  |  Benchmark: S&amp;P 500  |  Horizon: Long-Term Growth</w:t>
      </w:r>
    </w:p>
    <w:p>
      <w:pPr>
        <w:pBdr>
          <w:bottom w:val="single" w:color="1F4E79" w:sz="8" w:space="1"/>
        </w:pBdr>
        <w:spacing w:after="60"/>
      </w:pPr>
      <w:r>
        <w:t xml:space="preserve"/>
      </w:r>
    </w:p>
    <w:p>
      <w:pPr>
        <w:pStyle w:val="Heading1"/>
        <w:spacing w:after="90" w:before="200"/>
      </w:pPr>
      <w:r>
        <w:rPr>
          <w:rFonts w:ascii="Calibri" w:cs="Calibri" w:eastAsia="Calibri" w:hAnsi="Calibri"/>
          <w:b/>
          <w:bCs/>
          <w:color w:val="365F91"/>
          <w:sz w:val="28"/>
          <w:szCs w:val="28"/>
        </w:rPr>
        <w:t xml:space="preserve">1.  Market Snapshot — Pre-Market / Intraday</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100"/>
        <w:gridCol w:w="2100"/>
        <w:gridCol w:w="2560"/>
      </w:tblGrid>
      <w:tr>
        <w:trPr>
          <w:tblHeader/>
        </w:trPr>
        <w:tc>
          <w:tcPr>
            <w:tcW w:type="dxa" w:w="26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Index / Reference</w:t>
            </w:r>
          </w:p>
        </w:tc>
        <w:tc>
          <w:tcPr>
            <w:tcW w:type="dxa" w:w="21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Level</w:t>
            </w:r>
          </w:p>
        </w:tc>
        <w:tc>
          <w:tcPr>
            <w:tcW w:type="dxa" w:w="21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Change</w:t>
            </w:r>
          </w:p>
        </w:tc>
        <w:tc>
          <w:tcPr>
            <w:tcW w:type="dxa" w:w="25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Read</w:t>
            </w:r>
          </w:p>
        </w:tc>
      </w:tr>
      <w:tr>
        <w:tc>
          <w:tcPr>
            <w:tcW w:type="dxa" w:w="2600"/>
            <w:tcMar>
              <w:top w:type="dxa" w:w="40"/>
              <w:left w:type="dxa" w:w="90"/>
              <w:bottom w:type="dxa" w:w="40"/>
              <w:right w:type="dxa" w:w="90"/>
            </w:tcMar>
            <w:vAlign w:val="center"/>
          </w:tcPr>
          <w:p>
            <w:r>
              <w:rPr>
                <w:rFonts w:ascii="Calibri" w:cs="Calibri" w:eastAsia="Calibri" w:hAnsi="Calibri"/>
                <w:sz w:val="17"/>
                <w:szCs w:val="17"/>
              </w:rPr>
              <w:t xml:space="preserve">S&amp;P 500</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~7,423</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−0.35%</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Profit-taking, Q3 Day 1</w:t>
            </w:r>
          </w:p>
        </w:tc>
      </w:tr>
      <w:tr>
        <w:tc>
          <w:tcPr>
            <w:tcW w:type="dxa" w:w="2600"/>
            <w:shd w:fill="F3F6FA" w:val="clear"/>
            <w:tcMar>
              <w:top w:type="dxa" w:w="40"/>
              <w:left w:type="dxa" w:w="90"/>
              <w:bottom w:type="dxa" w:w="40"/>
              <w:right w:type="dxa" w:w="90"/>
            </w:tcMar>
            <w:vAlign w:val="center"/>
          </w:tcPr>
          <w:p>
            <w:r>
              <w:rPr>
                <w:rFonts w:ascii="Calibri" w:cs="Calibri" w:eastAsia="Calibri" w:hAnsi="Calibri"/>
                <w:sz w:val="17"/>
                <w:szCs w:val="17"/>
              </w:rPr>
              <w:t xml:space="preserve">Nasdaq Composite</w:t>
            </w:r>
          </w:p>
        </w:tc>
        <w:tc>
          <w:tcPr>
            <w:tcW w:type="dxa" w:w="210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~26,000</w:t>
            </w:r>
          </w:p>
        </w:tc>
        <w:tc>
          <w:tcPr>
            <w:tcW w:type="dxa" w:w="210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−0.72%</w:t>
            </w:r>
          </w:p>
        </w:tc>
        <w:tc>
          <w:tcPr>
            <w:tcW w:type="dxa" w:w="2560"/>
            <w:shd w:fill="F3F6FA" w:val="clear"/>
            <w:tcMar>
              <w:top w:type="dxa" w:w="40"/>
              <w:left w:type="dxa" w:w="90"/>
              <w:bottom w:type="dxa" w:w="40"/>
              <w:right w:type="dxa" w:w="90"/>
            </w:tcMar>
            <w:vAlign w:val="center"/>
          </w:tcPr>
          <w:p>
            <w:r>
              <w:rPr>
                <w:rFonts w:ascii="Calibri" w:cs="Calibri" w:eastAsia="Calibri" w:hAnsi="Calibri"/>
                <w:sz w:val="17"/>
                <w:szCs w:val="17"/>
              </w:rPr>
              <w:t xml:space="preserve">Chip complex leads down</w:t>
            </w:r>
          </w:p>
        </w:tc>
      </w:tr>
      <w:tr>
        <w:tc>
          <w:tcPr>
            <w:tcW w:type="dxa" w:w="2600"/>
            <w:tcMar>
              <w:top w:type="dxa" w:w="40"/>
              <w:left w:type="dxa" w:w="90"/>
              <w:bottom w:type="dxa" w:w="40"/>
              <w:right w:type="dxa" w:w="90"/>
            </w:tcMar>
            <w:vAlign w:val="center"/>
          </w:tcPr>
          <w:p>
            <w:r>
              <w:rPr>
                <w:rFonts w:ascii="Calibri" w:cs="Calibri" w:eastAsia="Calibri" w:hAnsi="Calibri"/>
                <w:sz w:val="17"/>
                <w:szCs w:val="17"/>
              </w:rPr>
              <w:t xml:space="preserve">Dow Jones</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−0.35%</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Broad, orderly</w:t>
            </w:r>
          </w:p>
        </w:tc>
      </w:tr>
      <w:tr>
        <w:tc>
          <w:tcPr>
            <w:tcW w:type="dxa" w:w="2600"/>
            <w:shd w:fill="F3F6FA" w:val="clear"/>
            <w:tcMar>
              <w:top w:type="dxa" w:w="40"/>
              <w:left w:type="dxa" w:w="90"/>
              <w:bottom w:type="dxa" w:w="40"/>
              <w:right w:type="dxa" w:w="90"/>
            </w:tcMar>
            <w:vAlign w:val="center"/>
          </w:tcPr>
          <w:p>
            <w:r>
              <w:rPr>
                <w:rFonts w:ascii="Calibri" w:cs="Calibri" w:eastAsia="Calibri" w:hAnsi="Calibri"/>
                <w:sz w:val="17"/>
                <w:szCs w:val="17"/>
              </w:rPr>
              <w:t xml:space="preserve">10Y Treasury</w:t>
            </w:r>
          </w:p>
        </w:tc>
        <w:tc>
          <w:tcPr>
            <w:tcW w:type="dxa" w:w="210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~4.37%</w:t>
            </w:r>
          </w:p>
        </w:tc>
        <w:tc>
          <w:tcPr>
            <w:tcW w:type="dxa" w:w="210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~flat</w:t>
            </w:r>
          </w:p>
        </w:tc>
        <w:tc>
          <w:tcPr>
            <w:tcW w:type="dxa" w:w="2560"/>
            <w:shd w:fill="F3F6FA" w:val="clear"/>
            <w:tcMar>
              <w:top w:type="dxa" w:w="40"/>
              <w:left w:type="dxa" w:w="90"/>
              <w:bottom w:type="dxa" w:w="40"/>
              <w:right w:type="dxa" w:w="90"/>
            </w:tcMar>
            <w:vAlign w:val="center"/>
          </w:tcPr>
          <w:p>
            <w:r>
              <w:rPr>
                <w:rFonts w:ascii="Calibri" w:cs="Calibri" w:eastAsia="Calibri" w:hAnsi="Calibri"/>
                <w:sz w:val="17"/>
                <w:szCs w:val="17"/>
              </w:rPr>
              <w:t xml:space="preserve">Hawkish baseline</w:t>
            </w:r>
          </w:p>
        </w:tc>
      </w:tr>
      <w:tr>
        <w:tc>
          <w:tcPr>
            <w:tcW w:type="dxa" w:w="2600"/>
            <w:tcMar>
              <w:top w:type="dxa" w:w="40"/>
              <w:left w:type="dxa" w:w="90"/>
              <w:bottom w:type="dxa" w:w="40"/>
              <w:right w:type="dxa" w:w="90"/>
            </w:tcMar>
            <w:vAlign w:val="center"/>
          </w:tcPr>
          <w:p>
            <w:r>
              <w:rPr>
                <w:rFonts w:ascii="Calibri" w:cs="Calibri" w:eastAsia="Calibri" w:hAnsi="Calibri"/>
                <w:sz w:val="17"/>
                <w:szCs w:val="17"/>
              </w:rPr>
              <w:t xml:space="preserve">WTI Crude</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~$70.24</w:t>
            </w:r>
          </w:p>
        </w:tc>
        <w:tc>
          <w:tcPr>
            <w:tcW w:type="dxa" w:w="2100"/>
            <w:tcMar>
              <w:top w:type="dxa" w:w="40"/>
              <w:left w:type="dxa" w:w="90"/>
              <w:bottom w:type="dxa" w:w="40"/>
              <w:right w:type="dxa" w:w="90"/>
            </w:tcMar>
            <w:vAlign w:val="center"/>
          </w:tcPr>
          <w:p>
            <w:pPr>
              <w:jc w:val="right"/>
            </w:pPr>
            <w:r>
              <w:rPr>
                <w:rFonts w:ascii="Consolas" w:cs="Consolas" w:eastAsia="Consolas" w:hAnsi="Consolas"/>
                <w:sz w:val="17"/>
                <w:szCs w:val="17"/>
              </w:rPr>
              <w:t xml:space="preserve">$68–71 rng</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Ceasefire holds</w:t>
            </w:r>
          </w:p>
        </w:tc>
      </w:tr>
    </w:tbl>
    <w:p>
      <w:pPr>
        <w:spacing w:after="40"/>
      </w:pPr>
      <w:r>
        <w:t xml:space="preserve"/>
      </w:r>
    </w:p>
    <w:p>
      <w:pPr>
        <w:spacing w:after="80"/>
      </w:pPr>
      <w:r>
        <w:rPr>
          <w:rFonts w:ascii="Calibri" w:cs="Calibri" w:eastAsia="Calibri" w:hAnsi="Calibri"/>
          <w:b/>
          <w:bCs/>
          <w:sz w:val="20"/>
          <w:szCs w:val="20"/>
        </w:rPr>
        <w:t xml:space="preserve">Macro lens (SOURCED). </w:t>
      </w:r>
      <w:r>
        <w:rPr>
          <w:rFonts w:ascii="Calibri" w:cs="Calibri" w:eastAsia="Calibri" w:hAnsi="Calibri"/>
          <w:sz w:val="20"/>
          <w:szCs w:val="20"/>
        </w:rPr>
        <w:t xml:space="preserve">Q3 opens risk-off after the strongest quarter since 2020; investors took profits in technology and the semiconductor complex resumed selling. Fed Governor Warsh, speaking at the ECB Forum in Sintra, called inflation “too high,” noted AI may be disinflationary longer-term, and declined to hint at the July FOMC decision; the hawkish baseline (May PCE +4.1% YoY, roughly three hikes priced, September ~62%) is unchanged. WTI held a $68–71 band with the U.S.–Iran ceasefire intact and Doha talks ongoing.</w:t>
      </w:r>
    </w:p>
    <w:p>
      <w:pPr>
        <w:pStyle w:val="Heading1"/>
        <w:spacing w:after="90" w:before="200"/>
      </w:pPr>
      <w:r>
        <w:rPr>
          <w:rFonts w:ascii="Calibri" w:cs="Calibri" w:eastAsia="Calibri" w:hAnsi="Calibri"/>
          <w:b/>
          <w:bCs/>
          <w:color w:val="365F91"/>
          <w:sz w:val="28"/>
          <w:szCs w:val="28"/>
        </w:rPr>
        <w:t xml:space="preserve">2.  Scan 1 — Holdings Review (Affected Names)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3450"/>
        <w:gridCol w:w="2350"/>
        <w:gridCol w:w="2260"/>
      </w:tblGrid>
      <w:tr>
        <w:trPr>
          <w:tblHeader/>
        </w:trPr>
        <w:tc>
          <w:tcPr>
            <w:tcW w:type="dxa" w:w="13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Name</w:t>
            </w:r>
          </w:p>
        </w:tc>
        <w:tc>
          <w:tcPr>
            <w:tcW w:type="dxa" w:w="345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Event / Catalyst (SOURCED)</w:t>
            </w:r>
          </w:p>
        </w:tc>
        <w:tc>
          <w:tcPr>
            <w:tcW w:type="dxa" w:w="235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Assessment</w:t>
            </w:r>
          </w:p>
        </w:tc>
        <w:tc>
          <w:tcPr>
            <w:tcW w:type="dxa" w:w="22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Action</w:t>
            </w:r>
          </w:p>
        </w:tc>
      </w:tr>
      <w:tr>
        <w:tc>
          <w:tcPr>
            <w:tcW w:type="dxa" w:w="1300"/>
            <w:tcMar>
              <w:top w:type="dxa" w:w="40"/>
              <w:left w:type="dxa" w:w="90"/>
              <w:bottom w:type="dxa" w:w="40"/>
              <w:right w:type="dxa" w:w="90"/>
            </w:tcMar>
            <w:vAlign w:val="center"/>
          </w:tcPr>
          <w:p>
            <w:r>
              <w:rPr>
                <w:rFonts w:ascii="Calibri" w:cs="Calibri" w:eastAsia="Calibri" w:hAnsi="Calibri"/>
                <w:b/>
                <w:bCs/>
                <w:sz w:val="17"/>
                <w:szCs w:val="17"/>
              </w:rPr>
              <w:t xml:space="preserve">MSFT</w:t>
            </w:r>
          </w:p>
        </w:tc>
        <w:tc>
          <w:tcPr>
            <w:tcW w:type="dxa" w:w="3450"/>
            <w:tcMar>
              <w:top w:type="dxa" w:w="40"/>
              <w:left w:type="dxa" w:w="90"/>
              <w:bottom w:type="dxa" w:w="40"/>
              <w:right w:type="dxa" w:w="90"/>
            </w:tcMar>
            <w:vAlign w:val="center"/>
          </w:tcPr>
          <w:p>
            <w:r>
              <w:rPr>
                <w:rFonts w:ascii="Calibri" w:cs="Calibri" w:eastAsia="Calibri" w:hAnsi="Calibri"/>
                <w:sz w:val="17"/>
                <w:szCs w:val="17"/>
              </w:rPr>
              <w:t xml:space="preserve">Pre-mkt $379.62 (+1.77%); Wedbush Outperform PT $625, Goldman Buy. Azure +31% Q3 FY26; AI run-rate ~$37B (+123% YoY).</w:t>
            </w:r>
          </w:p>
        </w:tc>
        <w:tc>
          <w:tcPr>
            <w:tcW w:type="dxa" w:w="2350"/>
            <w:tcMar>
              <w:top w:type="dxa" w:w="40"/>
              <w:left w:type="dxa" w:w="90"/>
              <w:bottom w:type="dxa" w:w="40"/>
              <w:right w:type="dxa" w:w="90"/>
            </w:tcMar>
            <w:vAlign w:val="center"/>
          </w:tcPr>
          <w:p>
            <w:r>
              <w:rPr>
                <w:rFonts w:ascii="Calibri" w:cs="Calibri" w:eastAsia="Calibri" w:hAnsi="Calibri"/>
                <w:sz w:val="17"/>
                <w:szCs w:val="17"/>
              </w:rPr>
              <w:t xml:space="preserve">Entry ≤$380 met; thesis intact; capex ~$190B is the risk.</w:t>
            </w:r>
          </w:p>
        </w:tc>
        <w:tc>
          <w:tcPr>
            <w:tcW w:type="dxa" w:w="2260"/>
            <w:tcMar>
              <w:top w:type="dxa" w:w="40"/>
              <w:left w:type="dxa" w:w="90"/>
              <w:bottom w:type="dxa" w:w="40"/>
              <w:right w:type="dxa" w:w="90"/>
            </w:tcMar>
            <w:vAlign w:val="center"/>
          </w:tcPr>
          <w:p>
            <w:r>
              <w:rPr>
                <w:rFonts w:ascii="Calibri" w:cs="Calibri" w:eastAsia="Calibri" w:hAnsi="Calibri"/>
                <w:sz w:val="17"/>
                <w:szCs w:val="17"/>
              </w:rPr>
              <w:t xml:space="preserve">REC ADD +1.0% (4.0→5.0%) — see §6</w:t>
            </w:r>
          </w:p>
        </w:tc>
      </w:tr>
      <w:tr>
        <w:tc>
          <w:tcPr>
            <w:tcW w:type="dxa" w:w="130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NVDA / AVGO</w:t>
            </w:r>
          </w:p>
        </w:tc>
        <w:tc>
          <w:tcPr>
            <w:tcW w:type="dxa" w:w="3450"/>
            <w:shd w:fill="F3F6FA" w:val="clear"/>
            <w:tcMar>
              <w:top w:type="dxa" w:w="40"/>
              <w:left w:type="dxa" w:w="90"/>
              <w:bottom w:type="dxa" w:w="40"/>
              <w:right w:type="dxa" w:w="90"/>
            </w:tcMar>
            <w:vAlign w:val="center"/>
          </w:tcPr>
          <w:p>
            <w:r>
              <w:rPr>
                <w:rFonts w:ascii="Calibri" w:cs="Calibri" w:eastAsia="Calibri" w:hAnsi="Calibri"/>
                <w:sz w:val="17"/>
                <w:szCs w:val="17"/>
              </w:rPr>
              <w:t xml:space="preserve">Retreating with Nasdaq; no new catalyst. AVGO custom-ASIC (OpenAI/Google) pipeline intact. IDC warns 2026 phone units −13%.</w:t>
            </w:r>
          </w:p>
        </w:tc>
        <w:tc>
          <w:tcPr>
            <w:tcW w:type="dxa" w:w="2350"/>
            <w:shd w:fill="F3F6FA" w:val="clear"/>
            <w:tcMar>
              <w:top w:type="dxa" w:w="40"/>
              <w:left w:type="dxa" w:w="90"/>
              <w:bottom w:type="dxa" w:w="40"/>
              <w:right w:type="dxa" w:w="90"/>
            </w:tcMar>
            <w:vAlign w:val="center"/>
          </w:tcPr>
          <w:p>
            <w:r>
              <w:rPr>
                <w:rFonts w:ascii="Calibri" w:cs="Calibri" w:eastAsia="Calibri" w:hAnsi="Calibri"/>
                <w:sz w:val="17"/>
                <w:szCs w:val="17"/>
              </w:rPr>
              <w:t xml:space="preserve">Sentiment pressure, theses intact. NVDA at 6.5% cap — no add room.</w:t>
            </w:r>
          </w:p>
        </w:tc>
        <w:tc>
          <w:tcPr>
            <w:tcW w:type="dxa" w:w="2260"/>
            <w:shd w:fill="F3F6FA" w:val="clear"/>
            <w:tcMar>
              <w:top w:type="dxa" w:w="40"/>
              <w:left w:type="dxa" w:w="90"/>
              <w:bottom w:type="dxa" w:w="40"/>
              <w:right w:type="dxa" w:w="90"/>
            </w:tcMar>
            <w:vAlign w:val="center"/>
          </w:tcPr>
          <w:p>
            <w:r>
              <w:rPr>
                <w:rFonts w:ascii="Calibri" w:cs="Calibri" w:eastAsia="Calibri" w:hAnsi="Calibri"/>
                <w:sz w:val="17"/>
                <w:szCs w:val="17"/>
              </w:rPr>
              <w:t xml:space="preserve">HOLD</w:t>
            </w:r>
          </w:p>
        </w:tc>
      </w:tr>
      <w:tr>
        <w:tc>
          <w:tcPr>
            <w:tcW w:type="dxa" w:w="1300"/>
            <w:tcMar>
              <w:top w:type="dxa" w:w="40"/>
              <w:left w:type="dxa" w:w="90"/>
              <w:bottom w:type="dxa" w:w="40"/>
              <w:right w:type="dxa" w:w="90"/>
            </w:tcMar>
            <w:vAlign w:val="center"/>
          </w:tcPr>
          <w:p>
            <w:r>
              <w:rPr>
                <w:rFonts w:ascii="Calibri" w:cs="Calibri" w:eastAsia="Calibri" w:hAnsi="Calibri"/>
                <w:b/>
                <w:bCs/>
                <w:sz w:val="17"/>
                <w:szCs w:val="17"/>
              </w:rPr>
              <w:t xml:space="preserve">MU</w:t>
            </w:r>
          </w:p>
        </w:tc>
        <w:tc>
          <w:tcPr>
            <w:tcW w:type="dxa" w:w="3450"/>
            <w:tcMar>
              <w:top w:type="dxa" w:w="40"/>
              <w:left w:type="dxa" w:w="90"/>
              <w:bottom w:type="dxa" w:w="40"/>
              <w:right w:type="dxa" w:w="90"/>
            </w:tcMar>
            <w:vAlign w:val="center"/>
          </w:tcPr>
          <w:p>
            <w:r>
              <w:rPr>
                <w:rFonts w:ascii="Calibri" w:cs="Calibri" w:eastAsia="Calibri" w:hAnsi="Calibri"/>
                <w:sz w:val="17"/>
                <w:szCs w:val="17"/>
              </w:rPr>
              <w:t xml:space="preserve">FQ3 blowout ($41.46B rev, EPS $25.11; Q4 guide $50B) stabilizing ~$1,140. TD Cowen/BofA PT $1,500.</w:t>
            </w:r>
          </w:p>
        </w:tc>
        <w:tc>
          <w:tcPr>
            <w:tcW w:type="dxa" w:w="2350"/>
            <w:tcMar>
              <w:top w:type="dxa" w:w="40"/>
              <w:left w:type="dxa" w:w="90"/>
              <w:bottom w:type="dxa" w:w="40"/>
              <w:right w:type="dxa" w:w="90"/>
            </w:tcMar>
            <w:vAlign w:val="center"/>
          </w:tcPr>
          <w:p>
            <w:r>
              <w:rPr>
                <w:rFonts w:ascii="Calibri" w:cs="Calibri" w:eastAsia="Calibri" w:hAnsi="Calibri"/>
                <w:sz w:val="17"/>
                <w:szCs w:val="17"/>
              </w:rPr>
              <w:t xml:space="preserve">Confirmed; carry FLAG: tracker $235 vs mkt ~$1,140 (CALIBRATED drift).</w:t>
            </w:r>
          </w:p>
        </w:tc>
        <w:tc>
          <w:tcPr>
            <w:tcW w:type="dxa" w:w="2260"/>
            <w:tcMar>
              <w:top w:type="dxa" w:w="40"/>
              <w:left w:type="dxa" w:w="90"/>
              <w:bottom w:type="dxa" w:w="40"/>
              <w:right w:type="dxa" w:w="90"/>
            </w:tcMar>
            <w:vAlign w:val="center"/>
          </w:tcPr>
          <w:p>
            <w:r>
              <w:rPr>
                <w:rFonts w:ascii="Calibri" w:cs="Calibri" w:eastAsia="Calibri" w:hAnsi="Calibri"/>
                <w:sz w:val="17"/>
                <w:szCs w:val="17"/>
              </w:rPr>
              <w:t xml:space="preserve">HOLD 2.5% — carry FLAG</w:t>
            </w:r>
          </w:p>
        </w:tc>
      </w:tr>
      <w:tr>
        <w:tc>
          <w:tcPr>
            <w:tcW w:type="dxa" w:w="130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PLTR</w:t>
            </w:r>
          </w:p>
        </w:tc>
        <w:tc>
          <w:tcPr>
            <w:tcW w:type="dxa" w:w="3450"/>
            <w:shd w:fill="F3F6FA" w:val="clear"/>
            <w:tcMar>
              <w:top w:type="dxa" w:w="40"/>
              <w:left w:type="dxa" w:w="90"/>
              <w:bottom w:type="dxa" w:w="40"/>
              <w:right w:type="dxa" w:w="90"/>
            </w:tcMar>
            <w:vAlign w:val="center"/>
          </w:tcPr>
          <w:p>
            <w:r>
              <w:rPr>
                <w:rFonts w:ascii="Calibri" w:cs="Calibri" w:eastAsia="Calibri" w:hAnsi="Calibri"/>
                <w:sz w:val="17"/>
                <w:szCs w:val="17"/>
              </w:rPr>
              <w:t xml:space="preserve">~$115–118; −37% YTD. Army modernization + Zeta partnership intact; no upgrade/beat today.</w:t>
            </w:r>
          </w:p>
        </w:tc>
        <w:tc>
          <w:tcPr>
            <w:tcW w:type="dxa" w:w="2350"/>
            <w:shd w:fill="F3F6FA" w:val="clear"/>
            <w:tcMar>
              <w:top w:type="dxa" w:w="40"/>
              <w:left w:type="dxa" w:w="90"/>
              <w:bottom w:type="dxa" w:w="40"/>
              <w:right w:type="dxa" w:w="90"/>
            </w:tcMar>
            <w:vAlign w:val="center"/>
          </w:tcPr>
          <w:p>
            <w:r>
              <w:rPr>
                <w:rFonts w:ascii="Calibri" w:cs="Calibri" w:eastAsia="Calibri" w:hAnsi="Calibri"/>
                <w:sz w:val="17"/>
                <w:szCs w:val="17"/>
              </w:rPr>
              <w:t xml:space="preserve">Weight drifted below 3.0% target (~1.8–2.0% CALIBRATED). No ADD trigger.</w:t>
            </w:r>
          </w:p>
        </w:tc>
        <w:tc>
          <w:tcPr>
            <w:tcW w:type="dxa" w:w="2260"/>
            <w:shd w:fill="F3F6FA" w:val="clear"/>
            <w:tcMar>
              <w:top w:type="dxa" w:w="40"/>
              <w:left w:type="dxa" w:w="90"/>
              <w:bottom w:type="dxa" w:w="40"/>
              <w:right w:type="dxa" w:w="90"/>
            </w:tcMar>
            <w:vAlign w:val="center"/>
          </w:tcPr>
          <w:p>
            <w:r>
              <w:rPr>
                <w:rFonts w:ascii="Calibri" w:cs="Calibri" w:eastAsia="Calibri" w:hAnsi="Calibri"/>
                <w:sz w:val="17"/>
                <w:szCs w:val="17"/>
              </w:rPr>
              <w:t xml:space="preserve">HOLD 3.0% tgt — drift FLAG</w:t>
            </w:r>
          </w:p>
        </w:tc>
      </w:tr>
      <w:tr>
        <w:tc>
          <w:tcPr>
            <w:tcW w:type="dxa" w:w="1300"/>
            <w:tcMar>
              <w:top w:type="dxa" w:w="40"/>
              <w:left w:type="dxa" w:w="90"/>
              <w:bottom w:type="dxa" w:w="40"/>
              <w:right w:type="dxa" w:w="90"/>
            </w:tcMar>
            <w:vAlign w:val="center"/>
          </w:tcPr>
          <w:p>
            <w:r>
              <w:rPr>
                <w:rFonts w:ascii="Calibri" w:cs="Calibri" w:eastAsia="Calibri" w:hAnsi="Calibri"/>
                <w:b/>
                <w:bCs/>
                <w:sz w:val="17"/>
                <w:szCs w:val="17"/>
              </w:rPr>
              <w:t xml:space="preserve">UNH</w:t>
            </w:r>
          </w:p>
        </w:tc>
        <w:tc>
          <w:tcPr>
            <w:tcW w:type="dxa" w:w="3450"/>
            <w:tcMar>
              <w:top w:type="dxa" w:w="40"/>
              <w:left w:type="dxa" w:w="90"/>
              <w:bottom w:type="dxa" w:w="40"/>
              <w:right w:type="dxa" w:w="90"/>
            </w:tcMar>
            <w:vAlign w:val="center"/>
          </w:tcPr>
          <w:p>
            <w:r>
              <w:rPr>
                <w:rFonts w:ascii="Calibri" w:cs="Calibri" w:eastAsia="Calibri" w:hAnsi="Calibri"/>
                <w:sz w:val="17"/>
                <w:szCs w:val="17"/>
              </w:rPr>
              <w:t xml:space="preserve">~$417–424. Q2 FY26 earnings Jul 16 (11 sessions). Consensus EPS $4.84; Strong Buy (19/26).</w:t>
            </w:r>
          </w:p>
        </w:tc>
        <w:tc>
          <w:tcPr>
            <w:tcW w:type="dxa" w:w="2350"/>
            <w:tcMar>
              <w:top w:type="dxa" w:w="40"/>
              <w:left w:type="dxa" w:w="90"/>
              <w:bottom w:type="dxa" w:w="40"/>
              <w:right w:type="dxa" w:w="90"/>
            </w:tcMar>
            <w:vAlign w:val="center"/>
          </w:tcPr>
          <w:p>
            <w:r>
              <w:rPr>
                <w:rFonts w:ascii="Calibri" w:cs="Calibri" w:eastAsia="Calibri" w:hAnsi="Calibri"/>
                <w:sz w:val="17"/>
                <w:szCs w:val="17"/>
              </w:rPr>
              <w:t xml:space="preserve">Pre-earnings hold; carry FLAG (15th): tracker $510 vs ~$424. DOJ/Optum binary risk.</w:t>
            </w:r>
          </w:p>
        </w:tc>
        <w:tc>
          <w:tcPr>
            <w:tcW w:type="dxa" w:w="2260"/>
            <w:tcMar>
              <w:top w:type="dxa" w:w="40"/>
              <w:left w:type="dxa" w:w="90"/>
              <w:bottom w:type="dxa" w:w="40"/>
              <w:right w:type="dxa" w:w="90"/>
            </w:tcMar>
            <w:vAlign w:val="center"/>
          </w:tcPr>
          <w:p>
            <w:r>
              <w:rPr>
                <w:rFonts w:ascii="Calibri" w:cs="Calibri" w:eastAsia="Calibri" w:hAnsi="Calibri"/>
                <w:sz w:val="17"/>
                <w:szCs w:val="17"/>
              </w:rPr>
              <w:t xml:space="preserve">HOLD 3.0% — active watch</w:t>
            </w:r>
          </w:p>
        </w:tc>
      </w:tr>
      <w:tr>
        <w:tc>
          <w:tcPr>
            <w:tcW w:type="dxa" w:w="130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SPOT</w:t>
            </w:r>
          </w:p>
        </w:tc>
        <w:tc>
          <w:tcPr>
            <w:tcW w:type="dxa" w:w="3450"/>
            <w:shd w:fill="F3F6FA" w:val="clear"/>
            <w:tcMar>
              <w:top w:type="dxa" w:w="40"/>
              <w:left w:type="dxa" w:w="90"/>
              <w:bottom w:type="dxa" w:w="40"/>
              <w:right w:type="dxa" w:w="90"/>
            </w:tcMar>
            <w:vAlign w:val="center"/>
          </w:tcPr>
          <w:p>
            <w:r>
              <w:rPr>
                <w:rFonts w:ascii="Calibri" w:cs="Calibri" w:eastAsia="Calibri" w:hAnsi="Calibri"/>
                <w:sz w:val="17"/>
                <w:szCs w:val="17"/>
              </w:rPr>
              <w:t xml:space="preserve">Day 3 post-entry; tracking macro, no new news. Goldman Buy PT $659. Stop $395 intact.</w:t>
            </w:r>
          </w:p>
        </w:tc>
        <w:tc>
          <w:tcPr>
            <w:tcW w:type="dxa" w:w="2350"/>
            <w:shd w:fill="F3F6FA" w:val="clear"/>
            <w:tcMar>
              <w:top w:type="dxa" w:w="40"/>
              <w:left w:type="dxa" w:w="90"/>
              <w:bottom w:type="dxa" w:w="40"/>
              <w:right w:type="dxa" w:w="90"/>
            </w:tcMar>
            <w:vAlign w:val="center"/>
          </w:tcPr>
          <w:p>
            <w:r>
              <w:rPr>
                <w:rFonts w:ascii="Calibri" w:cs="Calibri" w:eastAsia="Calibri" w:hAnsi="Calibri"/>
                <w:sz w:val="17"/>
                <w:szCs w:val="17"/>
              </w:rPr>
              <w:t xml:space="preserve">Autonomous entry (Jun 29) performing to plan.</w:t>
            </w:r>
          </w:p>
        </w:tc>
        <w:tc>
          <w:tcPr>
            <w:tcW w:type="dxa" w:w="2260"/>
            <w:shd w:fill="F3F6FA" w:val="clear"/>
            <w:tcMar>
              <w:top w:type="dxa" w:w="40"/>
              <w:left w:type="dxa" w:w="90"/>
              <w:bottom w:type="dxa" w:w="40"/>
              <w:right w:type="dxa" w:w="90"/>
            </w:tcMar>
            <w:vAlign w:val="center"/>
          </w:tcPr>
          <w:p>
            <w:r>
              <w:rPr>
                <w:rFonts w:ascii="Calibri" w:cs="Calibri" w:eastAsia="Calibri" w:hAnsi="Calibri"/>
                <w:sz w:val="17"/>
                <w:szCs w:val="17"/>
              </w:rPr>
              <w:t xml:space="preserve">HOLD 1.5%</w:t>
            </w:r>
          </w:p>
        </w:tc>
      </w:tr>
      <w:tr>
        <w:tc>
          <w:tcPr>
            <w:tcW w:type="dxa" w:w="1300"/>
            <w:tcMar>
              <w:top w:type="dxa" w:w="40"/>
              <w:left w:type="dxa" w:w="90"/>
              <w:bottom w:type="dxa" w:w="40"/>
              <w:right w:type="dxa" w:w="90"/>
            </w:tcMar>
            <w:vAlign w:val="center"/>
          </w:tcPr>
          <w:p>
            <w:r>
              <w:rPr>
                <w:rFonts w:ascii="Calibri" w:cs="Calibri" w:eastAsia="Calibri" w:hAnsi="Calibri"/>
                <w:b/>
                <w:bCs/>
                <w:sz w:val="17"/>
                <w:szCs w:val="17"/>
              </w:rPr>
              <w:t xml:space="preserve">Energy</w:t>
            </w:r>
          </w:p>
        </w:tc>
        <w:tc>
          <w:tcPr>
            <w:tcW w:type="dxa" w:w="3450"/>
            <w:tcMar>
              <w:top w:type="dxa" w:w="40"/>
              <w:left w:type="dxa" w:w="90"/>
              <w:bottom w:type="dxa" w:w="40"/>
              <w:right w:type="dxa" w:w="90"/>
            </w:tcMar>
            <w:vAlign w:val="center"/>
          </w:tcPr>
          <w:p>
            <w:r>
              <w:rPr>
                <w:rFonts w:ascii="Calibri" w:cs="Calibri" w:eastAsia="Calibri" w:hAnsi="Calibri"/>
                <w:sz w:val="17"/>
                <w:szCs w:val="17"/>
              </w:rPr>
              <w:t xml:space="preserve">WTI $68–71; oil worst quarter since 2020 (−30%). XOM/EOG capex maintained.</w:t>
            </w:r>
          </w:p>
        </w:tc>
        <w:tc>
          <w:tcPr>
            <w:tcW w:type="dxa" w:w="2350"/>
            <w:tcMar>
              <w:top w:type="dxa" w:w="40"/>
              <w:left w:type="dxa" w:w="90"/>
              <w:bottom w:type="dxa" w:w="40"/>
              <w:right w:type="dxa" w:w="90"/>
            </w:tcMar>
            <w:vAlign w:val="center"/>
          </w:tcPr>
          <w:p>
            <w:r>
              <w:rPr>
                <w:rFonts w:ascii="Calibri" w:cs="Calibri" w:eastAsia="Calibri" w:hAnsi="Calibri"/>
                <w:sz w:val="17"/>
                <w:szCs w:val="17"/>
              </w:rPr>
              <w:t xml:space="preserve">Sub-$90 trim trigger armed 7th session; pre-mortem not triggered.</w:t>
            </w:r>
          </w:p>
        </w:tc>
        <w:tc>
          <w:tcPr>
            <w:tcW w:type="dxa" w:w="2260"/>
            <w:tcMar>
              <w:top w:type="dxa" w:w="40"/>
              <w:left w:type="dxa" w:w="90"/>
              <w:bottom w:type="dxa" w:w="40"/>
              <w:right w:type="dxa" w:w="90"/>
            </w:tcMar>
            <w:vAlign w:val="center"/>
          </w:tcPr>
          <w:p>
            <w:r>
              <w:rPr>
                <w:rFonts w:ascii="Calibri" w:cs="Calibri" w:eastAsia="Calibri" w:hAnsi="Calibri"/>
                <w:sz w:val="17"/>
                <w:szCs w:val="17"/>
              </w:rPr>
              <w:t xml:space="preserve">REC TRIM — see §6</w:t>
            </w:r>
          </w:p>
        </w:tc>
      </w:tr>
    </w:tbl>
    <w:p>
      <w:pPr>
        <w:pStyle w:val="Heading1"/>
        <w:spacing w:after="90" w:before="200"/>
      </w:pPr>
      <w:r>
        <w:rPr>
          <w:rFonts w:ascii="Calibri" w:cs="Calibri" w:eastAsia="Calibri" w:hAnsi="Calibri"/>
          <w:b/>
          <w:bCs/>
          <w:color w:val="365F91"/>
          <w:sz w:val="28"/>
          <w:szCs w:val="28"/>
        </w:rPr>
        <w:t xml:space="preserve">3.  Scan 2 — New Opportunities &amp; Watchlist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50"/>
        <w:gridCol w:w="1500"/>
        <w:gridCol w:w="1450"/>
        <w:gridCol w:w="1650"/>
        <w:gridCol w:w="1200"/>
        <w:gridCol w:w="2510"/>
      </w:tblGrid>
      <w:tr>
        <w:trPr>
          <w:tblHeader/>
        </w:trPr>
        <w:tc>
          <w:tcPr>
            <w:tcW w:type="dxa" w:w="105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Ticker</w:t>
            </w:r>
          </w:p>
        </w:tc>
        <w:tc>
          <w:tcPr>
            <w:tcW w:type="dxa" w:w="15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Setup</w:t>
            </w:r>
          </w:p>
        </w:tc>
        <w:tc>
          <w:tcPr>
            <w:tcW w:type="dxa" w:w="145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Conf.</w:t>
            </w:r>
          </w:p>
        </w:tc>
        <w:tc>
          <w:tcPr>
            <w:tcW w:type="dxa" w:w="165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Entry / Stop</w:t>
            </w:r>
          </w:p>
        </w:tc>
        <w:tc>
          <w:tcPr>
            <w:tcW w:type="dxa" w:w="12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Size</w:t>
            </w:r>
          </w:p>
        </w:tc>
        <w:tc>
          <w:tcPr>
            <w:tcW w:type="dxa" w:w="251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Status / Pre-mortem</w:t>
            </w:r>
          </w:p>
        </w:tc>
      </w:tr>
      <w:tr>
        <w:tc>
          <w:tcPr>
            <w:tcW w:type="dxa" w:w="1050"/>
            <w:tcMar>
              <w:top w:type="dxa" w:w="40"/>
              <w:left w:type="dxa" w:w="90"/>
              <w:bottom w:type="dxa" w:w="40"/>
              <w:right w:type="dxa" w:w="90"/>
            </w:tcMar>
            <w:vAlign w:val="center"/>
          </w:tcPr>
          <w:p>
            <w:r>
              <w:rPr>
                <w:rFonts w:ascii="Calibri" w:cs="Calibri" w:eastAsia="Calibri" w:hAnsi="Calibri"/>
                <w:b/>
                <w:bCs/>
                <w:sz w:val="17"/>
                <w:szCs w:val="17"/>
              </w:rPr>
              <w:t xml:space="preserve">ANET</w:t>
            </w:r>
          </w:p>
        </w:tc>
        <w:tc>
          <w:tcPr>
            <w:tcW w:type="dxa" w:w="1500"/>
            <w:tcMar>
              <w:top w:type="dxa" w:w="40"/>
              <w:left w:type="dxa" w:w="90"/>
              <w:bottom w:type="dxa" w:w="40"/>
              <w:right w:type="dxa" w:w="90"/>
            </w:tcMar>
            <w:vAlign w:val="center"/>
          </w:tcPr>
          <w:p>
            <w:r>
              <w:rPr>
                <w:rFonts w:ascii="Calibri" w:cs="Calibri" w:eastAsia="Calibri" w:hAnsi="Calibri"/>
                <w:sz w:val="17"/>
                <w:szCs w:val="17"/>
              </w:rPr>
              <w:t xml:space="preserve">AI networking; Strong Buy, PT KeyBanc/BofA $200, Barclays $195</w:t>
            </w:r>
          </w:p>
        </w:tc>
        <w:tc>
          <w:tcPr>
            <w:tcW w:type="dxa" w:w="1450"/>
            <w:tcMar>
              <w:top w:type="dxa" w:w="40"/>
              <w:left w:type="dxa" w:w="90"/>
              <w:bottom w:type="dxa" w:w="40"/>
              <w:right w:type="dxa" w:w="90"/>
            </w:tcMar>
            <w:vAlign w:val="center"/>
          </w:tcPr>
          <w:p>
            <w:r>
              <w:rPr>
                <w:rFonts w:ascii="Consolas" w:cs="Consolas" w:eastAsia="Consolas" w:hAnsi="Consolas"/>
                <w:sz w:val="17"/>
                <w:szCs w:val="17"/>
              </w:rPr>
              <w:t xml:space="preserve">MED</w:t>
            </w:r>
          </w:p>
        </w:tc>
        <w:tc>
          <w:tcPr>
            <w:tcW w:type="dxa" w:w="1650"/>
            <w:tcMar>
              <w:top w:type="dxa" w:w="40"/>
              <w:left w:type="dxa" w:w="90"/>
              <w:bottom w:type="dxa" w:w="40"/>
              <w:right w:type="dxa" w:w="90"/>
            </w:tcMar>
            <w:vAlign w:val="center"/>
          </w:tcPr>
          <w:p>
            <w:r>
              <w:rPr>
                <w:rFonts w:ascii="Consolas" w:cs="Consolas" w:eastAsia="Consolas" w:hAnsi="Consolas"/>
                <w:sz w:val="17"/>
                <w:szCs w:val="17"/>
              </w:rPr>
              <w:t xml:space="preserve">≤$155 / $142 (−8%)</w:t>
            </w:r>
          </w:p>
        </w:tc>
        <w:tc>
          <w:tcPr>
            <w:tcW w:type="dxa" w:w="1200"/>
            <w:tcMar>
              <w:top w:type="dxa" w:w="40"/>
              <w:left w:type="dxa" w:w="90"/>
              <w:bottom w:type="dxa" w:w="40"/>
              <w:right w:type="dxa" w:w="90"/>
            </w:tcMar>
            <w:vAlign w:val="center"/>
          </w:tcPr>
          <w:p>
            <w:r>
              <w:rPr>
                <w:rFonts w:ascii="Consolas" w:cs="Consolas" w:eastAsia="Consolas" w:hAnsi="Consolas"/>
                <w:sz w:val="17"/>
                <w:szCs w:val="17"/>
              </w:rPr>
              <w:t xml:space="preserve">1.5%</w:t>
            </w:r>
          </w:p>
        </w:tc>
        <w:tc>
          <w:tcPr>
            <w:tcW w:type="dxa" w:w="2510"/>
            <w:tcMar>
              <w:top w:type="dxa" w:w="40"/>
              <w:left w:type="dxa" w:w="90"/>
              <w:bottom w:type="dxa" w:w="40"/>
              <w:right w:type="dxa" w:w="90"/>
            </w:tcMar>
            <w:vAlign w:val="center"/>
          </w:tcPr>
          <w:p>
            <w:r>
              <w:rPr>
                <w:rFonts w:ascii="Calibri" w:cs="Calibri" w:eastAsia="Calibri" w:hAnsi="Calibri"/>
                <w:sz w:val="17"/>
                <w:szCs w:val="17"/>
              </w:rPr>
              <w:t xml:space="preserve">WATCH — ~$160–165, trigger not met. Wrong if AI capex slows / MSFT+META concentration bites.</w:t>
            </w:r>
          </w:p>
        </w:tc>
      </w:tr>
      <w:tr>
        <w:tc>
          <w:tcPr>
            <w:tcW w:type="dxa" w:w="105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GS</w:t>
            </w:r>
          </w:p>
        </w:tc>
        <w:tc>
          <w:tcPr>
            <w:tcW w:type="dxa" w:w="1500"/>
            <w:shd w:fill="F3F6FA" w:val="clear"/>
            <w:tcMar>
              <w:top w:type="dxa" w:w="40"/>
              <w:left w:type="dxa" w:w="90"/>
              <w:bottom w:type="dxa" w:w="40"/>
              <w:right w:type="dxa" w:w="90"/>
            </w:tcMar>
            <w:vAlign w:val="center"/>
          </w:tcPr>
          <w:p>
            <w:r>
              <w:rPr>
                <w:rFonts w:ascii="Calibri" w:cs="Calibri" w:eastAsia="Calibri" w:hAnsi="Calibri"/>
                <w:sz w:val="17"/>
                <w:szCs w:val="17"/>
              </w:rPr>
              <w:t xml:space="preserve">M&amp;A cycle: &gt;$1T advised YTD (fastest ever); trading desk strength</w:t>
            </w:r>
          </w:p>
        </w:tc>
        <w:tc>
          <w:tcPr>
            <w:tcW w:type="dxa" w:w="1450"/>
            <w:shd w:fill="F3F6FA" w:val="clear"/>
            <w:tcMar>
              <w:top w:type="dxa" w:w="40"/>
              <w:left w:type="dxa" w:w="90"/>
              <w:bottom w:type="dxa" w:w="40"/>
              <w:right w:type="dxa" w:w="90"/>
            </w:tcMar>
            <w:vAlign w:val="center"/>
          </w:tcPr>
          <w:p>
            <w:r>
              <w:rPr>
                <w:rFonts w:ascii="Consolas" w:cs="Consolas" w:eastAsia="Consolas" w:hAnsi="Consolas"/>
                <w:sz w:val="17"/>
                <w:szCs w:val="17"/>
              </w:rPr>
              <w:t xml:space="preserve">LOW</w:t>
            </w:r>
          </w:p>
        </w:tc>
        <w:tc>
          <w:tcPr>
            <w:tcW w:type="dxa" w:w="1650"/>
            <w:shd w:fill="F3F6FA" w:val="clear"/>
            <w:tcMar>
              <w:top w:type="dxa" w:w="40"/>
              <w:left w:type="dxa" w:w="90"/>
              <w:bottom w:type="dxa" w:w="40"/>
              <w:right w:type="dxa" w:w="90"/>
            </w:tcMar>
            <w:vAlign w:val="center"/>
          </w:tcPr>
          <w:p>
            <w:r>
              <w:rPr>
                <w:rFonts w:ascii="Consolas" w:cs="Consolas" w:eastAsia="Consolas" w:hAnsi="Consolas"/>
                <w:sz w:val="17"/>
                <w:szCs w:val="17"/>
              </w:rPr>
              <w:t xml:space="preserve">Rate-clarity confirm</w:t>
            </w:r>
          </w:p>
        </w:tc>
        <w:tc>
          <w:tcPr>
            <w:tcW w:type="dxa" w:w="1200"/>
            <w:shd w:fill="F3F6FA" w:val="clear"/>
            <w:tcMar>
              <w:top w:type="dxa" w:w="40"/>
              <w:left w:type="dxa" w:w="90"/>
              <w:bottom w:type="dxa" w:w="40"/>
              <w:right w:type="dxa" w:w="90"/>
            </w:tcMar>
            <w:vAlign w:val="center"/>
          </w:tcPr>
          <w:p>
            <w:r>
              <w:rPr>
                <w:rFonts w:ascii="Consolas" w:cs="Consolas" w:eastAsia="Consolas" w:hAnsi="Consolas"/>
                <w:sz w:val="17"/>
                <w:szCs w:val="17"/>
              </w:rPr>
              <w:t xml:space="preserve">1.5%</w:t>
            </w:r>
          </w:p>
        </w:tc>
        <w:tc>
          <w:tcPr>
            <w:tcW w:type="dxa" w:w="2510"/>
            <w:shd w:fill="F3F6FA" w:val="clear"/>
            <w:tcMar>
              <w:top w:type="dxa" w:w="40"/>
              <w:left w:type="dxa" w:w="90"/>
              <w:bottom w:type="dxa" w:w="40"/>
              <w:right w:type="dxa" w:w="90"/>
            </w:tcMar>
            <w:vAlign w:val="center"/>
          </w:tcPr>
          <w:p>
            <w:r>
              <w:rPr>
                <w:rFonts w:ascii="Calibri" w:cs="Calibri" w:eastAsia="Calibri" w:hAnsi="Calibri"/>
                <w:sz w:val="17"/>
                <w:szCs w:val="17"/>
              </w:rPr>
              <w:t xml:space="preserve">WATCH — Oppenheimer cut to Underperform + hawkish Fed muddy trigger. Wrong if IB cycle stalls.</w:t>
            </w:r>
          </w:p>
        </w:tc>
      </w:tr>
      <w:tr>
        <w:tc>
          <w:tcPr>
            <w:tcW w:type="dxa" w:w="1050"/>
            <w:tcMar>
              <w:top w:type="dxa" w:w="40"/>
              <w:left w:type="dxa" w:w="90"/>
              <w:bottom w:type="dxa" w:w="40"/>
              <w:right w:type="dxa" w:w="90"/>
            </w:tcMar>
            <w:vAlign w:val="center"/>
          </w:tcPr>
          <w:p>
            <w:r>
              <w:rPr>
                <w:rFonts w:ascii="Calibri" w:cs="Calibri" w:eastAsia="Calibri" w:hAnsi="Calibri"/>
                <w:b/>
                <w:bCs/>
                <w:sz w:val="17"/>
                <w:szCs w:val="17"/>
              </w:rPr>
              <w:t xml:space="preserve">ARM</w:t>
            </w:r>
          </w:p>
        </w:tc>
        <w:tc>
          <w:tcPr>
            <w:tcW w:type="dxa" w:w="1500"/>
            <w:tcMar>
              <w:top w:type="dxa" w:w="40"/>
              <w:left w:type="dxa" w:w="90"/>
              <w:bottom w:type="dxa" w:w="40"/>
              <w:right w:type="dxa" w:w="90"/>
            </w:tcMar>
            <w:vAlign w:val="center"/>
          </w:tcPr>
          <w:p>
            <w:r>
              <w:rPr>
                <w:rFonts w:ascii="Calibri" w:cs="Calibri" w:eastAsia="Calibri" w:hAnsi="Calibri"/>
                <w:sz w:val="17"/>
                <w:szCs w:val="17"/>
              </w:rPr>
              <w:t xml:space="preserve">CPU/AI-edge royalty model</w:t>
            </w:r>
          </w:p>
        </w:tc>
        <w:tc>
          <w:tcPr>
            <w:tcW w:type="dxa" w:w="1450"/>
            <w:tcMar>
              <w:top w:type="dxa" w:w="40"/>
              <w:left w:type="dxa" w:w="90"/>
              <w:bottom w:type="dxa" w:w="40"/>
              <w:right w:type="dxa" w:w="90"/>
            </w:tcMar>
            <w:vAlign w:val="center"/>
          </w:tcPr>
          <w:p>
            <w:r>
              <w:rPr>
                <w:rFonts w:ascii="Consolas" w:cs="Consolas" w:eastAsia="Consolas" w:hAnsi="Consolas"/>
                <w:sz w:val="17"/>
                <w:szCs w:val="17"/>
              </w:rPr>
              <w:t xml:space="preserve">LOW</w:t>
            </w:r>
          </w:p>
        </w:tc>
        <w:tc>
          <w:tcPr>
            <w:tcW w:type="dxa" w:w="1650"/>
            <w:tcMar>
              <w:top w:type="dxa" w:w="40"/>
              <w:left w:type="dxa" w:w="90"/>
              <w:bottom w:type="dxa" w:w="40"/>
              <w:right w:type="dxa" w:w="90"/>
            </w:tcMar>
            <w:vAlign w:val="center"/>
          </w:tcPr>
          <w:p>
            <w:r>
              <w:rPr>
                <w:rFonts w:ascii="Consolas" w:cs="Consolas" w:eastAsia="Consolas" w:hAnsi="Consolas"/>
                <w:sz w:val="17"/>
                <w:szCs w:val="17"/>
              </w:rPr>
              <w:t xml:space="preserve">≤$130</w:t>
            </w:r>
          </w:p>
        </w:tc>
        <w:tc>
          <w:tcPr>
            <w:tcW w:type="dxa" w:w="1200"/>
            <w:tcMar>
              <w:top w:type="dxa" w:w="40"/>
              <w:left w:type="dxa" w:w="90"/>
              <w:bottom w:type="dxa" w:w="40"/>
              <w:right w:type="dxa" w:w="90"/>
            </w:tcMar>
            <w:vAlign w:val="center"/>
          </w:tcPr>
          <w:p>
            <w:r>
              <w:rPr>
                <w:rFonts w:ascii="Consolas" w:cs="Consolas" w:eastAsia="Consolas" w:hAnsi="Consolas"/>
                <w:sz w:val="17"/>
                <w:szCs w:val="17"/>
              </w:rPr>
              <w:t xml:space="preserve">1.0%</w:t>
            </w:r>
          </w:p>
        </w:tc>
        <w:tc>
          <w:tcPr>
            <w:tcW w:type="dxa" w:w="2510"/>
            <w:tcMar>
              <w:top w:type="dxa" w:w="40"/>
              <w:left w:type="dxa" w:w="90"/>
              <w:bottom w:type="dxa" w:w="40"/>
              <w:right w:type="dxa" w:w="90"/>
            </w:tcMar>
            <w:vAlign w:val="center"/>
          </w:tcPr>
          <w:p>
            <w:r>
              <w:rPr>
                <w:rFonts w:ascii="Calibri" w:cs="Calibri" w:eastAsia="Calibri" w:hAnsi="Calibri"/>
                <w:sz w:val="17"/>
                <w:szCs w:val="17"/>
              </w:rPr>
              <w:t xml:space="preserve">WATCH — no pullback. Wrong if edge-AI cycle data disappoints.</w:t>
            </w:r>
          </w:p>
        </w:tc>
      </w:tr>
      <w:tr>
        <w:tc>
          <w:tcPr>
            <w:tcW w:type="dxa" w:w="105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MRVL</w:t>
            </w:r>
          </w:p>
        </w:tc>
        <w:tc>
          <w:tcPr>
            <w:tcW w:type="dxa" w:w="1500"/>
            <w:shd w:fill="F3F6FA" w:val="clear"/>
            <w:tcMar>
              <w:top w:type="dxa" w:w="40"/>
              <w:left w:type="dxa" w:w="90"/>
              <w:bottom w:type="dxa" w:w="40"/>
              <w:right w:type="dxa" w:w="90"/>
            </w:tcMar>
            <w:vAlign w:val="center"/>
          </w:tcPr>
          <w:p>
            <w:r>
              <w:rPr>
                <w:rFonts w:ascii="Calibri" w:cs="Calibri" w:eastAsia="Calibri" w:hAnsi="Calibri"/>
                <w:sz w:val="17"/>
                <w:szCs w:val="17"/>
              </w:rPr>
              <w:t xml:space="preserve">AI custom silicon; S&amp;P 500 inclusion complete</w:t>
            </w:r>
          </w:p>
        </w:tc>
        <w:tc>
          <w:tcPr>
            <w:tcW w:type="dxa" w:w="1450"/>
            <w:shd w:fill="F3F6FA" w:val="clear"/>
            <w:tcMar>
              <w:top w:type="dxa" w:w="40"/>
              <w:left w:type="dxa" w:w="90"/>
              <w:bottom w:type="dxa" w:w="40"/>
              <w:right w:type="dxa" w:w="90"/>
            </w:tcMar>
            <w:vAlign w:val="center"/>
          </w:tcPr>
          <w:p>
            <w:r>
              <w:rPr>
                <w:rFonts w:ascii="Consolas" w:cs="Consolas" w:eastAsia="Consolas" w:hAnsi="Consolas"/>
                <w:sz w:val="17"/>
                <w:szCs w:val="17"/>
              </w:rPr>
              <w:t xml:space="preserve">LOW</w:t>
            </w:r>
          </w:p>
        </w:tc>
        <w:tc>
          <w:tcPr>
            <w:tcW w:type="dxa" w:w="1650"/>
            <w:shd w:fill="F3F6FA" w:val="clear"/>
            <w:tcMar>
              <w:top w:type="dxa" w:w="40"/>
              <w:left w:type="dxa" w:w="90"/>
              <w:bottom w:type="dxa" w:w="40"/>
              <w:right w:type="dxa" w:w="90"/>
            </w:tcMar>
            <w:vAlign w:val="center"/>
          </w:tcPr>
          <w:p>
            <w:r>
              <w:rPr>
                <w:rFonts w:ascii="Consolas" w:cs="Consolas" w:eastAsia="Consolas" w:hAnsi="Consolas"/>
                <w:sz w:val="17"/>
                <w:szCs w:val="17"/>
              </w:rPr>
              <w:t xml:space="preserve">On pullback</w:t>
            </w:r>
          </w:p>
        </w:tc>
        <w:tc>
          <w:tcPr>
            <w:tcW w:type="dxa" w:w="1200"/>
            <w:shd w:fill="F3F6FA" w:val="clear"/>
            <w:tcMar>
              <w:top w:type="dxa" w:w="40"/>
              <w:left w:type="dxa" w:w="90"/>
              <w:bottom w:type="dxa" w:w="40"/>
              <w:right w:type="dxa" w:w="90"/>
            </w:tcMar>
            <w:vAlign w:val="center"/>
          </w:tcPr>
          <w:p>
            <w:r>
              <w:rPr>
                <w:rFonts w:ascii="Consolas" w:cs="Consolas" w:eastAsia="Consolas" w:hAnsi="Consolas"/>
                <w:sz w:val="17"/>
                <w:szCs w:val="17"/>
              </w:rPr>
              <w:t xml:space="preserve">1.0%</w:t>
            </w:r>
          </w:p>
        </w:tc>
        <w:tc>
          <w:tcPr>
            <w:tcW w:type="dxa" w:w="2510"/>
            <w:shd w:fill="F3F6FA" w:val="clear"/>
            <w:tcMar>
              <w:top w:type="dxa" w:w="40"/>
              <w:left w:type="dxa" w:w="90"/>
              <w:bottom w:type="dxa" w:w="40"/>
              <w:right w:type="dxa" w:w="90"/>
            </w:tcMar>
            <w:vAlign w:val="center"/>
          </w:tcPr>
          <w:p>
            <w:r>
              <w:rPr>
                <w:rFonts w:ascii="Calibri" w:cs="Calibri" w:eastAsia="Calibri" w:hAnsi="Calibri"/>
                <w:sz w:val="17"/>
                <w:szCs w:val="17"/>
              </w:rPr>
              <w:t xml:space="preserve">WATCH — extended (+210% YTD), no entry. Wrong if memory/AI derating.</w:t>
            </w:r>
          </w:p>
        </w:tc>
      </w:tr>
    </w:tbl>
    <w:p>
      <w:pPr>
        <w:spacing w:after="40"/>
      </w:pPr>
      <w:r>
        <w:t xml:space="preserve"/>
      </w:r>
    </w:p>
    <w:p>
      <w:pPr>
        <w:spacing w:after="80"/>
      </w:pPr>
      <w:r>
        <w:rPr>
          <w:rFonts w:ascii="Calibri" w:cs="Calibri" w:eastAsia="Calibri" w:hAnsi="Calibri"/>
          <w:i/>
          <w:iCs/>
          <w:color w:val="555555"/>
          <w:sz w:val="18"/>
          <w:szCs w:val="18"/>
        </w:rPr>
        <w:t xml:space="preserve">No watchlist trigger was cleanly met at the scheduled run; no autonomous new-position entry was executed today.</w:t>
      </w:r>
    </w:p>
    <w:p>
      <w:pPr>
        <w:pStyle w:val="Heading1"/>
        <w:spacing w:after="90" w:before="200"/>
      </w:pPr>
      <w:r>
        <w:rPr>
          <w:rFonts w:ascii="Calibri" w:cs="Calibri" w:eastAsia="Calibri" w:hAnsi="Calibri"/>
          <w:b/>
          <w:bCs/>
          <w:color w:val="365F91"/>
          <w:sz w:val="28"/>
          <w:szCs w:val="28"/>
        </w:rPr>
        <w:t xml:space="preserve">4.  Cash Recommendation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120"/>
        <w:gridCol w:w="3120"/>
        <w:gridCol w:w="3120"/>
      </w:tblGrid>
      <w:tr>
        <w:trPr>
          <w:tblHeader/>
        </w:trPr>
        <w:tc>
          <w:tcPr>
            <w:tcW w:type="dxa" w:w="312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Framework</w:t>
            </w:r>
          </w:p>
        </w:tc>
        <w:tc>
          <w:tcPr>
            <w:tcW w:type="dxa" w:w="312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Current</w:t>
            </w:r>
          </w:p>
        </w:tc>
        <w:tc>
          <w:tcPr>
            <w:tcW w:type="dxa" w:w="312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If Approvals Execute</w:t>
            </w:r>
          </w:p>
        </w:tc>
      </w:tr>
      <w:tr>
        <w:tc>
          <w:tcPr>
            <w:tcW w:type="dxa" w:w="3120"/>
            <w:tcMar>
              <w:top w:type="dxa" w:w="40"/>
              <w:left w:type="dxa" w:w="90"/>
              <w:bottom w:type="dxa" w:w="40"/>
              <w:right w:type="dxa" w:w="90"/>
            </w:tcMar>
            <w:vAlign w:val="center"/>
          </w:tcPr>
          <w:p>
            <w:r>
              <w:rPr>
                <w:rFonts w:ascii="Calibri" w:cs="Calibri" w:eastAsia="Calibri" w:hAnsi="Calibri"/>
                <w:sz w:val="17"/>
                <w:szCs w:val="17"/>
              </w:rPr>
              <w:t xml:space="preserve">Cash weight (CONFIRMED)</w:t>
            </w:r>
          </w:p>
        </w:tc>
        <w:tc>
          <w:tcPr>
            <w:tcW w:type="dxa" w:w="3120"/>
            <w:tcMar>
              <w:top w:type="dxa" w:w="40"/>
              <w:left w:type="dxa" w:w="90"/>
              <w:bottom w:type="dxa" w:w="40"/>
              <w:right w:type="dxa" w:w="90"/>
            </w:tcMar>
            <w:vAlign w:val="center"/>
          </w:tcPr>
          <w:p>
            <w:pPr>
              <w:jc w:val="center"/>
            </w:pPr>
            <w:r>
              <w:rPr>
                <w:rFonts w:ascii="Consolas" w:cs="Consolas" w:eastAsia="Consolas" w:hAnsi="Consolas"/>
                <w:sz w:val="17"/>
                <w:szCs w:val="17"/>
              </w:rPr>
              <w:t xml:space="preserve">13.5%</w:t>
            </w:r>
          </w:p>
        </w:tc>
        <w:tc>
          <w:tcPr>
            <w:tcW w:type="dxa" w:w="3120"/>
            <w:tcMar>
              <w:top w:type="dxa" w:w="40"/>
              <w:left w:type="dxa" w:w="90"/>
              <w:bottom w:type="dxa" w:w="40"/>
              <w:right w:type="dxa" w:w="90"/>
            </w:tcMar>
            <w:vAlign w:val="center"/>
          </w:tcPr>
          <w:p>
            <w:r>
              <w:rPr>
                <w:rFonts w:ascii="Consolas" w:cs="Consolas" w:eastAsia="Consolas" w:hAnsi="Consolas"/>
                <w:sz w:val="17"/>
                <w:szCs w:val="17"/>
              </w:rPr>
              <w:t xml:space="preserve">12.5% (MSFT add) / 14.5% (energy trim)</w:t>
            </w:r>
          </w:p>
        </w:tc>
      </w:tr>
      <w:tr>
        <w:tc>
          <w:tcPr>
            <w:tcW w:type="dxa" w:w="3120"/>
            <w:shd w:fill="F3F6FA" w:val="clear"/>
            <w:tcMar>
              <w:top w:type="dxa" w:w="40"/>
              <w:left w:type="dxa" w:w="90"/>
              <w:bottom w:type="dxa" w:w="40"/>
              <w:right w:type="dxa" w:w="90"/>
            </w:tcMar>
            <w:vAlign w:val="center"/>
          </w:tcPr>
          <w:p>
            <w:r>
              <w:rPr>
                <w:rFonts w:ascii="Calibri" w:cs="Calibri" w:eastAsia="Calibri" w:hAnsi="Calibri"/>
                <w:sz w:val="17"/>
                <w:szCs w:val="17"/>
              </w:rPr>
              <w:t xml:space="preserve">IPS band</w:t>
            </w:r>
          </w:p>
        </w:tc>
        <w:tc>
          <w:tcPr>
            <w:tcW w:type="dxa" w:w="312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10.0%–20.0%</w:t>
            </w:r>
          </w:p>
        </w:tc>
        <w:tc>
          <w:tcPr>
            <w:tcW w:type="dxa" w:w="3120"/>
            <w:shd w:fill="F3F6FA" w:val="clear"/>
            <w:tcMar>
              <w:top w:type="dxa" w:w="40"/>
              <w:left w:type="dxa" w:w="90"/>
              <w:bottom w:type="dxa" w:w="40"/>
              <w:right w:type="dxa" w:w="90"/>
            </w:tcMar>
            <w:vAlign w:val="center"/>
          </w:tcPr>
          <w:p>
            <w:pPr>
              <w:jc w:val="center"/>
            </w:pPr>
            <w:r>
              <w:rPr>
                <w:rFonts w:ascii="Calibri" w:cs="Calibri" w:eastAsia="Calibri" w:hAnsi="Calibri"/>
                <w:sz w:val="17"/>
                <w:szCs w:val="17"/>
              </w:rPr>
              <w:t xml:space="preserve">Within band both cases</w:t>
            </w:r>
          </w:p>
        </w:tc>
      </w:tr>
      <w:tr>
        <w:tc>
          <w:tcPr>
            <w:tcW w:type="dxa" w:w="3120"/>
            <w:tcMar>
              <w:top w:type="dxa" w:w="40"/>
              <w:left w:type="dxa" w:w="90"/>
              <w:bottom w:type="dxa" w:w="40"/>
              <w:right w:type="dxa" w:w="90"/>
            </w:tcMar>
            <w:vAlign w:val="center"/>
          </w:tcPr>
          <w:p>
            <w:r>
              <w:rPr>
                <w:rFonts w:ascii="Calibri" w:cs="Calibri" w:eastAsia="Calibri" w:hAnsi="Calibri"/>
                <w:sz w:val="17"/>
                <w:szCs w:val="17"/>
              </w:rPr>
              <w:t xml:space="preserve">Posture</w:t>
            </w:r>
          </w:p>
        </w:tc>
        <w:tc>
          <w:tcPr>
            <w:tcW w:type="dxa" w:w="3120"/>
            <w:tcMar>
              <w:top w:type="dxa" w:w="40"/>
              <w:left w:type="dxa" w:w="90"/>
              <w:bottom w:type="dxa" w:w="40"/>
              <w:right w:type="dxa" w:w="90"/>
            </w:tcMar>
            <w:vAlign w:val="center"/>
          </w:tcPr>
          <w:p>
            <w:pPr>
              <w:jc w:val="center"/>
            </w:pPr>
            <w:r>
              <w:rPr>
                <w:rFonts w:ascii="Calibri" w:cs="Calibri" w:eastAsia="Calibri" w:hAnsi="Calibri"/>
                <w:sz w:val="17"/>
                <w:szCs w:val="17"/>
              </w:rPr>
              <w:t xml:space="preserve">Reactive floor</w:t>
            </w:r>
          </w:p>
        </w:tc>
        <w:tc>
          <w:tcPr>
            <w:tcW w:type="dxa" w:w="3120"/>
            <w:tcMar>
              <w:top w:type="dxa" w:w="40"/>
              <w:left w:type="dxa" w:w="90"/>
              <w:bottom w:type="dxa" w:w="40"/>
              <w:right w:type="dxa" w:w="90"/>
            </w:tcMar>
            <w:vAlign w:val="center"/>
          </w:tcPr>
          <w:p>
            <w:pPr>
              <w:jc w:val="center"/>
            </w:pPr>
            <w:r>
              <w:rPr>
                <w:rFonts w:ascii="Calibri" w:cs="Calibri" w:eastAsia="Calibri" w:hAnsi="Calibri"/>
                <w:sz w:val="17"/>
                <w:szCs w:val="17"/>
              </w:rPr>
              <w:t xml:space="preserve">Maintained</w:t>
            </w:r>
          </w:p>
        </w:tc>
      </w:tr>
    </w:tbl>
    <w:p>
      <w:pPr>
        <w:spacing w:after="40"/>
      </w:pPr>
      <w:r>
        <w:t xml:space="preserve"/>
      </w:r>
    </w:p>
    <w:p>
      <w:pPr>
        <w:spacing w:after="80"/>
      </w:pPr>
      <w:r>
        <w:rPr>
          <w:rFonts w:ascii="Calibri" w:cs="Calibri" w:eastAsia="Calibri" w:hAnsi="Calibri"/>
          <w:b/>
          <w:bCs/>
          <w:sz w:val="20"/>
          <w:szCs w:val="20"/>
        </w:rPr>
        <w:t xml:space="preserve">Rationale. </w:t>
      </w:r>
      <w:r>
        <w:rPr>
          <w:rFonts w:ascii="Calibri" w:cs="Calibri" w:eastAsia="Calibri" w:hAnsi="Calibri"/>
          <w:sz w:val="20"/>
          <w:szCs w:val="20"/>
        </w:rPr>
        <w:t xml:space="preserve">Cash holds at 13.5% (CONFIRMED), inside the 10–20% band. With a hawkish Warsh, a profit-taking tape, and UNH earnings on July 16, the reactive posture is appropriate. The two pending approvals move cash in opposite directions and both leave it comfortably within band.</w:t>
      </w:r>
    </w:p>
    <w:p>
      <w:pPr>
        <w:pStyle w:val="Heading1"/>
        <w:spacing w:after="90" w:before="200"/>
      </w:pPr>
      <w:r>
        <w:rPr>
          <w:rFonts w:ascii="Calibri" w:cs="Calibri" w:eastAsia="Calibri" w:hAnsi="Calibri"/>
          <w:b/>
          <w:bCs/>
          <w:color w:val="365F91"/>
          <w:sz w:val="28"/>
          <w:szCs w:val="28"/>
        </w:rPr>
        <w:t xml:space="preserve">5.  Pending Catalysts — Status Update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1600"/>
        <w:gridCol w:w="3200"/>
        <w:gridCol w:w="2560"/>
      </w:tblGrid>
      <w:tr>
        <w:trPr>
          <w:tblHeader/>
        </w:trPr>
        <w:tc>
          <w:tcPr>
            <w:tcW w:type="dxa" w:w="20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Item</w:t>
            </w:r>
          </w:p>
        </w:tc>
        <w:tc>
          <w:tcPr>
            <w:tcW w:type="dxa" w:w="16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Date</w:t>
            </w:r>
          </w:p>
        </w:tc>
        <w:tc>
          <w:tcPr>
            <w:tcW w:type="dxa" w:w="320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Watch</w:t>
            </w:r>
          </w:p>
        </w:tc>
        <w:tc>
          <w:tcPr>
            <w:tcW w:type="dxa" w:w="25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Status</w:t>
            </w:r>
          </w:p>
        </w:tc>
      </w:tr>
      <w:tr>
        <w:tc>
          <w:tcPr>
            <w:tcW w:type="dxa" w:w="2000"/>
            <w:tcMar>
              <w:top w:type="dxa" w:w="40"/>
              <w:left w:type="dxa" w:w="90"/>
              <w:bottom w:type="dxa" w:w="40"/>
              <w:right w:type="dxa" w:w="90"/>
            </w:tcMar>
            <w:vAlign w:val="center"/>
          </w:tcPr>
          <w:p>
            <w:r>
              <w:rPr>
                <w:rFonts w:ascii="Calibri" w:cs="Calibri" w:eastAsia="Calibri" w:hAnsi="Calibri"/>
                <w:b/>
                <w:bCs/>
                <w:sz w:val="17"/>
                <w:szCs w:val="17"/>
              </w:rPr>
              <w:t xml:space="preserve">UNH Q2 FY26 earnings</w:t>
            </w:r>
          </w:p>
        </w:tc>
        <w:tc>
          <w:tcPr>
            <w:tcW w:type="dxa" w:w="1600"/>
            <w:tcMar>
              <w:top w:type="dxa" w:w="40"/>
              <w:left w:type="dxa" w:w="90"/>
              <w:bottom w:type="dxa" w:w="40"/>
              <w:right w:type="dxa" w:w="90"/>
            </w:tcMar>
            <w:vAlign w:val="center"/>
          </w:tcPr>
          <w:p>
            <w:r>
              <w:rPr>
                <w:rFonts w:ascii="Consolas" w:cs="Consolas" w:eastAsia="Consolas" w:hAnsi="Consolas"/>
                <w:sz w:val="17"/>
                <w:szCs w:val="17"/>
              </w:rPr>
              <w:t xml:space="preserve">Thu Jul 16</w:t>
            </w:r>
          </w:p>
        </w:tc>
        <w:tc>
          <w:tcPr>
            <w:tcW w:type="dxa" w:w="3200"/>
            <w:tcMar>
              <w:top w:type="dxa" w:w="40"/>
              <w:left w:type="dxa" w:w="90"/>
              <w:bottom w:type="dxa" w:w="40"/>
              <w:right w:type="dxa" w:w="90"/>
            </w:tcMar>
            <w:vAlign w:val="center"/>
          </w:tcPr>
          <w:p>
            <w:r>
              <w:rPr>
                <w:rFonts w:ascii="Calibri" w:cs="Calibri" w:eastAsia="Calibri" w:hAnsi="Calibri"/>
                <w:sz w:val="17"/>
                <w:szCs w:val="17"/>
              </w:rPr>
              <w:t xml:space="preserve">MA margin recovery, medical cost trend, Optum</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Active watch (11 sessions)</w:t>
            </w:r>
          </w:p>
        </w:tc>
      </w:tr>
      <w:tr>
        <w:tc>
          <w:tcPr>
            <w:tcW w:type="dxa" w:w="2000"/>
            <w:shd w:fill="F3F6FA" w:val="clear"/>
            <w:tcMar>
              <w:top w:type="dxa" w:w="40"/>
              <w:left w:type="dxa" w:w="90"/>
              <w:bottom w:type="dxa" w:w="40"/>
              <w:right w:type="dxa" w:w="90"/>
            </w:tcMar>
            <w:vAlign w:val="center"/>
          </w:tcPr>
          <w:p>
            <w:r>
              <w:rPr>
                <w:rFonts w:ascii="Calibri" w:cs="Calibri" w:eastAsia="Calibri" w:hAnsi="Calibri"/>
                <w:sz w:val="17"/>
                <w:szCs w:val="17"/>
              </w:rPr>
              <w:t xml:space="preserve">Energy trim trigger</w:t>
            </w:r>
          </w:p>
        </w:tc>
        <w:tc>
          <w:tcPr>
            <w:tcW w:type="dxa" w:w="1600"/>
            <w:shd w:fill="F3F6FA" w:val="clear"/>
            <w:tcMar>
              <w:top w:type="dxa" w:w="40"/>
              <w:left w:type="dxa" w:w="90"/>
              <w:bottom w:type="dxa" w:w="40"/>
              <w:right w:type="dxa" w:w="90"/>
            </w:tcMar>
            <w:vAlign w:val="center"/>
          </w:tcPr>
          <w:p>
            <w:r>
              <w:rPr>
                <w:rFonts w:ascii="Consolas" w:cs="Consolas" w:eastAsia="Consolas" w:hAnsi="Consolas"/>
                <w:sz w:val="17"/>
                <w:szCs w:val="17"/>
              </w:rPr>
              <w:t xml:space="preserve">Armed</w:t>
            </w:r>
          </w:p>
        </w:tc>
        <w:tc>
          <w:tcPr>
            <w:tcW w:type="dxa" w:w="3200"/>
            <w:shd w:fill="F3F6FA" w:val="clear"/>
            <w:tcMar>
              <w:top w:type="dxa" w:w="40"/>
              <w:left w:type="dxa" w:w="90"/>
              <w:bottom w:type="dxa" w:w="40"/>
              <w:right w:type="dxa" w:w="90"/>
            </w:tcMar>
            <w:vAlign w:val="center"/>
          </w:tcPr>
          <w:p>
            <w:r>
              <w:rPr>
                <w:rFonts w:ascii="Calibri" w:cs="Calibri" w:eastAsia="Calibri" w:hAnsi="Calibri"/>
                <w:sz w:val="17"/>
                <w:szCs w:val="17"/>
              </w:rPr>
              <w:t xml:space="preserve">WTI sustained &lt; $90 (now $68–71)</w:t>
            </w:r>
          </w:p>
        </w:tc>
        <w:tc>
          <w:tcPr>
            <w:tcW w:type="dxa" w:w="2560"/>
            <w:shd w:fill="F3F6FA" w:val="clear"/>
            <w:tcMar>
              <w:top w:type="dxa" w:w="40"/>
              <w:left w:type="dxa" w:w="90"/>
              <w:bottom w:type="dxa" w:w="40"/>
              <w:right w:type="dxa" w:w="90"/>
            </w:tcMar>
            <w:vAlign w:val="center"/>
          </w:tcPr>
          <w:p>
            <w:r>
              <w:rPr>
                <w:rFonts w:ascii="Calibri" w:cs="Calibri" w:eastAsia="Calibri" w:hAnsi="Calibri"/>
                <w:sz w:val="17"/>
                <w:szCs w:val="17"/>
              </w:rPr>
              <w:t xml:space="preserve">PENDING approval (7th session)</w:t>
            </w:r>
          </w:p>
        </w:tc>
      </w:tr>
      <w:tr>
        <w:tc>
          <w:tcPr>
            <w:tcW w:type="dxa" w:w="2000"/>
            <w:tcMar>
              <w:top w:type="dxa" w:w="40"/>
              <w:left w:type="dxa" w:w="90"/>
              <w:bottom w:type="dxa" w:w="40"/>
              <w:right w:type="dxa" w:w="90"/>
            </w:tcMar>
            <w:vAlign w:val="center"/>
          </w:tcPr>
          <w:p>
            <w:r>
              <w:rPr>
                <w:rFonts w:ascii="Calibri" w:cs="Calibri" w:eastAsia="Calibri" w:hAnsi="Calibri"/>
                <w:sz w:val="17"/>
                <w:szCs w:val="17"/>
              </w:rPr>
              <w:t xml:space="preserve">MSFT add</w:t>
            </w:r>
          </w:p>
        </w:tc>
        <w:tc>
          <w:tcPr>
            <w:tcW w:type="dxa" w:w="1600"/>
            <w:tcMar>
              <w:top w:type="dxa" w:w="40"/>
              <w:left w:type="dxa" w:w="90"/>
              <w:bottom w:type="dxa" w:w="40"/>
              <w:right w:type="dxa" w:w="90"/>
            </w:tcMar>
            <w:vAlign w:val="center"/>
          </w:tcPr>
          <w:p>
            <w:r>
              <w:rPr>
                <w:rFonts w:ascii="Consolas" w:cs="Consolas" w:eastAsia="Consolas" w:hAnsi="Consolas"/>
                <w:sz w:val="17"/>
                <w:szCs w:val="17"/>
              </w:rPr>
              <w:t xml:space="preserve">Live</w:t>
            </w:r>
          </w:p>
        </w:tc>
        <w:tc>
          <w:tcPr>
            <w:tcW w:type="dxa" w:w="3200"/>
            <w:tcMar>
              <w:top w:type="dxa" w:w="40"/>
              <w:left w:type="dxa" w:w="90"/>
              <w:bottom w:type="dxa" w:w="40"/>
              <w:right w:type="dxa" w:w="90"/>
            </w:tcMar>
            <w:vAlign w:val="center"/>
          </w:tcPr>
          <w:p>
            <w:r>
              <w:rPr>
                <w:rFonts w:ascii="Calibri" w:cs="Calibri" w:eastAsia="Calibri" w:hAnsi="Calibri"/>
                <w:sz w:val="17"/>
                <w:szCs w:val="17"/>
              </w:rPr>
              <w:t xml:space="preserve">Entry ≤$380 met at $379.62</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PENDING approval (3rd session)</w:t>
            </w:r>
          </w:p>
        </w:tc>
      </w:tr>
      <w:tr>
        <w:tc>
          <w:tcPr>
            <w:tcW w:type="dxa" w:w="2000"/>
            <w:shd w:fill="F3F6FA" w:val="clear"/>
            <w:tcMar>
              <w:top w:type="dxa" w:w="40"/>
              <w:left w:type="dxa" w:w="90"/>
              <w:bottom w:type="dxa" w:w="40"/>
              <w:right w:type="dxa" w:w="90"/>
            </w:tcMar>
            <w:vAlign w:val="center"/>
          </w:tcPr>
          <w:p>
            <w:r>
              <w:rPr>
                <w:rFonts w:ascii="Calibri" w:cs="Calibri" w:eastAsia="Calibri" w:hAnsi="Calibri"/>
                <w:sz w:val="17"/>
                <w:szCs w:val="17"/>
              </w:rPr>
              <w:t xml:space="preserve">Fed / July FOMC</w:t>
            </w:r>
          </w:p>
        </w:tc>
        <w:tc>
          <w:tcPr>
            <w:tcW w:type="dxa" w:w="1600"/>
            <w:shd w:fill="F3F6FA" w:val="clear"/>
            <w:tcMar>
              <w:top w:type="dxa" w:w="40"/>
              <w:left w:type="dxa" w:w="90"/>
              <w:bottom w:type="dxa" w:w="40"/>
              <w:right w:type="dxa" w:w="90"/>
            </w:tcMar>
            <w:vAlign w:val="center"/>
          </w:tcPr>
          <w:p>
            <w:r>
              <w:rPr>
                <w:rFonts w:ascii="Consolas" w:cs="Consolas" w:eastAsia="Consolas" w:hAnsi="Consolas"/>
                <w:sz w:val="17"/>
                <w:szCs w:val="17"/>
              </w:rPr>
              <w:t xml:space="preserve">Late Jul</w:t>
            </w:r>
          </w:p>
        </w:tc>
        <w:tc>
          <w:tcPr>
            <w:tcW w:type="dxa" w:w="3200"/>
            <w:shd w:fill="F3F6FA" w:val="clear"/>
            <w:tcMar>
              <w:top w:type="dxa" w:w="40"/>
              <w:left w:type="dxa" w:w="90"/>
              <w:bottom w:type="dxa" w:w="40"/>
              <w:right w:type="dxa" w:w="90"/>
            </w:tcMar>
            <w:vAlign w:val="center"/>
          </w:tcPr>
          <w:p>
            <w:r>
              <w:rPr>
                <w:rFonts w:ascii="Calibri" w:cs="Calibri" w:eastAsia="Calibri" w:hAnsi="Calibri"/>
                <w:sz w:val="17"/>
                <w:szCs w:val="17"/>
              </w:rPr>
              <w:t xml:space="preserve">Warsh: inflation “too high”; task-force leads ~next week</w:t>
            </w:r>
          </w:p>
        </w:tc>
        <w:tc>
          <w:tcPr>
            <w:tcW w:type="dxa" w:w="2560"/>
            <w:shd w:fill="F3F6FA" w:val="clear"/>
            <w:tcMar>
              <w:top w:type="dxa" w:w="40"/>
              <w:left w:type="dxa" w:w="90"/>
              <w:bottom w:type="dxa" w:w="40"/>
              <w:right w:type="dxa" w:w="90"/>
            </w:tcMar>
            <w:vAlign w:val="center"/>
          </w:tcPr>
          <w:p>
            <w:r>
              <w:rPr>
                <w:rFonts w:ascii="Calibri" w:cs="Calibri" w:eastAsia="Calibri" w:hAnsi="Calibri"/>
                <w:sz w:val="17"/>
                <w:szCs w:val="17"/>
              </w:rPr>
              <w:t xml:space="preserve">Hawkish baseline unchanged</w:t>
            </w:r>
          </w:p>
        </w:tc>
      </w:tr>
      <w:tr>
        <w:tc>
          <w:tcPr>
            <w:tcW w:type="dxa" w:w="2000"/>
            <w:tcMar>
              <w:top w:type="dxa" w:w="40"/>
              <w:left w:type="dxa" w:w="90"/>
              <w:bottom w:type="dxa" w:w="40"/>
              <w:right w:type="dxa" w:w="90"/>
            </w:tcMar>
            <w:vAlign w:val="center"/>
          </w:tcPr>
          <w:p>
            <w:r>
              <w:rPr>
                <w:rFonts w:ascii="Calibri" w:cs="Calibri" w:eastAsia="Calibri" w:hAnsi="Calibri"/>
                <w:sz w:val="17"/>
                <w:szCs w:val="17"/>
              </w:rPr>
              <w:t xml:space="preserve">Carry resyncs</w:t>
            </w:r>
          </w:p>
        </w:tc>
        <w:tc>
          <w:tcPr>
            <w:tcW w:type="dxa" w:w="1600"/>
            <w:tcMar>
              <w:top w:type="dxa" w:w="40"/>
              <w:left w:type="dxa" w:w="90"/>
              <w:bottom w:type="dxa" w:w="40"/>
              <w:right w:type="dxa" w:w="90"/>
            </w:tcMar>
            <w:vAlign w:val="center"/>
          </w:tcPr>
          <w:p>
            <w:r>
              <w:rPr>
                <w:rFonts w:ascii="Consolas" w:cs="Consolas" w:eastAsia="Consolas" w:hAnsi="Consolas"/>
                <w:sz w:val="17"/>
                <w:szCs w:val="17"/>
              </w:rPr>
              <w:t xml:space="preserve">Q3 mark</w:t>
            </w:r>
          </w:p>
        </w:tc>
        <w:tc>
          <w:tcPr>
            <w:tcW w:type="dxa" w:w="3200"/>
            <w:tcMar>
              <w:top w:type="dxa" w:w="40"/>
              <w:left w:type="dxa" w:w="90"/>
              <w:bottom w:type="dxa" w:w="40"/>
              <w:right w:type="dxa" w:w="90"/>
            </w:tcMar>
            <w:vAlign w:val="center"/>
          </w:tcPr>
          <w:p>
            <w:r>
              <w:rPr>
                <w:rFonts w:ascii="Calibri" w:cs="Calibri" w:eastAsia="Calibri" w:hAnsi="Calibri"/>
                <w:sz w:val="17"/>
                <w:szCs w:val="17"/>
              </w:rPr>
              <w:t xml:space="preserve">UNH $510→~$424; MU $235→~$1,140; PLTR drift</w:t>
            </w:r>
          </w:p>
        </w:tc>
        <w:tc>
          <w:tcPr>
            <w:tcW w:type="dxa" w:w="2560"/>
            <w:tcMar>
              <w:top w:type="dxa" w:w="40"/>
              <w:left w:type="dxa" w:w="90"/>
              <w:bottom w:type="dxa" w:w="40"/>
              <w:right w:type="dxa" w:w="90"/>
            </w:tcMar>
            <w:vAlign w:val="center"/>
          </w:tcPr>
          <w:p>
            <w:r>
              <w:rPr>
                <w:rFonts w:ascii="Calibri" w:cs="Calibri" w:eastAsia="Calibri" w:hAnsi="Calibri"/>
                <w:sz w:val="17"/>
                <w:szCs w:val="17"/>
              </w:rPr>
              <w:t xml:space="preserve">FLAG — no trade</w:t>
            </w:r>
          </w:p>
        </w:tc>
      </w:tr>
    </w:tbl>
    <w:p>
      <w:pPr>
        <w:pStyle w:val="Heading1"/>
        <w:spacing w:after="90" w:before="200"/>
      </w:pPr>
      <w:r>
        <w:rPr>
          <w:rFonts w:ascii="Calibri" w:cs="Calibri" w:eastAsia="Calibri" w:hAnsi="Calibri"/>
          <w:b/>
          <w:bCs/>
          <w:color w:val="365F91"/>
          <w:sz w:val="28"/>
          <w:szCs w:val="28"/>
        </w:rPr>
        <w:t xml:space="preserve">6.  Recommended Weight Changes (Today)</w:t>
      </w:r>
    </w:p>
    <w:p>
      <w:pPr>
        <w:spacing w:after="80"/>
      </w:pPr>
      <w:r>
        <w:rPr>
          <w:rFonts w:ascii="Calibri" w:cs="Calibri" w:eastAsia="Calibri" w:hAnsi="Calibri"/>
          <w:b/>
          <w:bCs/>
          <w:sz w:val="20"/>
          <w:szCs w:val="20"/>
        </w:rPr>
        <w:t xml:space="preserve">No weight changes were executed today. </w:t>
      </w:r>
      <w:r>
        <w:rPr>
          <w:rFonts w:ascii="Calibri" w:cs="Calibri" w:eastAsia="Calibri" w:hAnsi="Calibri"/>
          <w:sz w:val="20"/>
          <w:szCs w:val="20"/>
        </w:rPr>
        <w:t xml:space="preserve">No Scan 2 entry trigger was cleanly met, so no autonomous new position was added. Two recommendations on existing positions remain outstanding and require manager approval before execution:</w:t>
      </w:r>
    </w:p>
    <w:p>
      <w:pPr>
        <w:spacing w:after="80"/>
      </w:pPr>
      <w:r>
        <w:rPr>
          <w:rFonts w:ascii="Calibri" w:cs="Calibri" w:eastAsia="Calibri" w:hAnsi="Calibri"/>
          <w:b/>
          <w:bCs/>
          <w:sz w:val="20"/>
          <w:szCs w:val="20"/>
        </w:rPr>
        <w:t xml:space="preserve">1)  Energy trim (7th session, Conf MED-HIGH). </w:t>
      </w:r>
      <w:r>
        <w:rPr>
          <w:rFonts w:ascii="Calibri" w:cs="Calibri" w:eastAsia="Calibri" w:hAnsi="Calibri"/>
          <w:sz w:val="20"/>
          <w:szCs w:val="20"/>
        </w:rPr>
        <w:t xml:space="preserve">XOM 3.0%→2.5%, EOG 2.5%→2.0%, cash +1.0% to 14.5%. Entry: reduce on the sustained sub-$90 WTI regime (now $68–71). Price stop: n/a (trim). Thesis stop: WTI reclaims $90 on renewed supply risk. Pre-mortem: wrong if the U.S.–Iran ceasefire collapses within 5 sessions of the trim. Post-trade IPS: Energy 5.5%→4.5%, cash 14.5% — within limits.</w:t>
      </w:r>
    </w:p>
    <w:p>
      <w:pPr>
        <w:spacing w:after="80"/>
      </w:pPr>
      <w:r>
        <w:rPr>
          <w:rFonts w:ascii="Calibri" w:cs="Calibri" w:eastAsia="Calibri" w:hAnsi="Calibri"/>
          <w:b/>
          <w:bCs/>
          <w:sz w:val="20"/>
          <w:szCs w:val="20"/>
        </w:rPr>
        <w:t xml:space="preserve">2)  MSFT add to existing position (3rd session flagged, Conf MED-HIGH). </w:t>
      </w:r>
      <w:r>
        <w:rPr>
          <w:rFonts w:ascii="Calibri" w:cs="Calibri" w:eastAsia="Calibri" w:hAnsi="Calibri"/>
          <w:sz w:val="20"/>
          <w:szCs w:val="20"/>
        </w:rPr>
        <w:t xml:space="preserve">4.0%→5.0% (+1.0%). Entry ≤$380 met at $379.62 pre-market. Price stop: $330 (−12%). Thesis stop: Azure growth decelerates below 20% YoY. Pre-mortem: ~$190B FY26 capex compresses margins faster than AI revenue scales. Post-trade IPS: MSFT 5.0% ≤ 7.0%; Technology 33.5%→34.5% ≤ 35.0%; cash 13.5%→12.5% ≥ 10.0% — within limits.</w:t>
      </w:r>
    </w:p>
    <w:p>
      <w:pPr>
        <w:pStyle w:val="Heading1"/>
        <w:spacing w:after="90" w:before="200"/>
      </w:pPr>
      <w:r>
        <w:rPr>
          <w:rFonts w:ascii="Calibri" w:cs="Calibri" w:eastAsia="Calibri" w:hAnsi="Calibri"/>
          <w:b/>
          <w:bCs/>
          <w:color w:val="365F91"/>
          <w:sz w:val="28"/>
          <w:szCs w:val="28"/>
        </w:rPr>
        <w:t xml:space="preserve">7.  Full Portfolio Table — 28 Positions + Cash</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560"/>
        <w:gridCol w:w="1130"/>
        <w:gridCol w:w="2260"/>
        <w:gridCol w:w="730"/>
        <w:gridCol w:w="560"/>
        <w:gridCol w:w="1130"/>
        <w:gridCol w:w="2260"/>
        <w:gridCol w:w="730"/>
      </w:tblGrid>
      <w:tr>
        <w:trPr>
          <w:tblHeader/>
        </w:trPr>
        <w:tc>
          <w:tcPr>
            <w:tcW w:type="dxa" w:w="5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w:t>
            </w:r>
          </w:p>
        </w:tc>
        <w:tc>
          <w:tcPr>
            <w:tcW w:type="dxa" w:w="113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Ticker</w:t>
            </w:r>
          </w:p>
        </w:tc>
        <w:tc>
          <w:tcPr>
            <w:tcW w:type="dxa" w:w="22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Sector (GICS)</w:t>
            </w:r>
          </w:p>
        </w:tc>
        <w:tc>
          <w:tcPr>
            <w:tcW w:type="dxa" w:w="73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Wt%</w:t>
            </w:r>
          </w:p>
        </w:tc>
        <w:tc>
          <w:tcPr>
            <w:tcW w:type="dxa" w:w="5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w:t>
            </w:r>
          </w:p>
        </w:tc>
        <w:tc>
          <w:tcPr>
            <w:tcW w:type="dxa" w:w="113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Ticker</w:t>
            </w:r>
          </w:p>
        </w:tc>
        <w:tc>
          <w:tcPr>
            <w:tcW w:type="dxa" w:w="226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Sector (GICS)</w:t>
            </w:r>
          </w:p>
        </w:tc>
        <w:tc>
          <w:tcPr>
            <w:tcW w:type="dxa" w:w="730"/>
            <w:shd w:fill="1F4E79" w:val="clear"/>
            <w:tcMar>
              <w:top w:type="dxa" w:w="50"/>
              <w:left w:type="dxa" w:w="90"/>
              <w:bottom w:type="dxa" w:w="50"/>
              <w:right w:type="dxa" w:w="90"/>
            </w:tcMar>
            <w:vAlign w:val="center"/>
          </w:tcPr>
          <w:p>
            <w:pPr>
              <w:jc w:val="left"/>
            </w:pPr>
            <w:r>
              <w:rPr>
                <w:rFonts w:ascii="Calibri" w:cs="Calibri" w:eastAsia="Calibri" w:hAnsi="Calibri"/>
                <w:b/>
                <w:bCs/>
                <w:color w:val="FFFFFF"/>
                <w:sz w:val="17"/>
                <w:szCs w:val="17"/>
              </w:rPr>
              <w:t xml:space="preserve">Wt%</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NVDA</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6.5</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16</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TSM</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2</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AMZN</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Cons. Disc.</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5.5</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17</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VUG</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ETF</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2.5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3</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JPM</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Financials</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4.5</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18</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SCHD</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ETF</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2.5</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4</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LLY</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Healthcare</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4.5</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19</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MU</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2.5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5</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META</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Comm. Svcs.</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4.5</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20</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EOG</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Energy</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2.5</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6</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AVGO</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4.0</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21</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COST</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Cons. Staples</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2.5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7</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MSFT</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4.0</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22</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DASH</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Cons. Disc.</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2.0</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8</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PANW</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4.0</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23</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NEE</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Utilities</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2.0</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9</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QQQ</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ETF</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3.5</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24</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ABBV</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Healthcare</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1.5</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10</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ORCL</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3.5</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25</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NFLX</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Comm. Svcs.</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1.5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11</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GOOGL</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Comm. Svcs.</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26</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CRWD</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1.5</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12</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PLTR</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27</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INTC</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Technology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1.5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13</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UNH</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Healthcare</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28</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SPOT</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Comm. Svcs.</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1.5</w:t>
            </w:r>
          </w:p>
        </w:tc>
      </w:tr>
      <w:tr>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14</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XOM</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Energy</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c>
          <w:tcPr>
            <w:tcW w:type="dxa" w:w="560"/>
            <w:shd w:fill="F3F6FA" w:val="clear"/>
            <w:tcMar>
              <w:top w:type="dxa" w:w="40"/>
              <w:left w:type="dxa" w:w="90"/>
              <w:bottom w:type="dxa" w:w="40"/>
              <w:right w:type="dxa" w:w="90"/>
            </w:tcMar>
            <w:vAlign w:val="center"/>
          </w:tcPr>
          <w:p>
            <w:pPr>
              <w:jc w:val="center"/>
            </w:pPr>
            <w:r>
              <w:rPr>
                <w:rFonts w:ascii="Consolas" w:cs="Consolas" w:eastAsia="Consolas" w:hAnsi="Consolas"/>
                <w:sz w:val="17"/>
                <w:szCs w:val="17"/>
              </w:rPr>
              <w:t xml:space="preserve">—</w:t>
            </w:r>
          </w:p>
        </w:tc>
        <w:tc>
          <w:tcPr>
            <w:tcW w:type="dxa" w:w="1130"/>
            <w:shd w:fill="F3F6FA" w:val="clear"/>
            <w:tcMar>
              <w:top w:type="dxa" w:w="40"/>
              <w:left w:type="dxa" w:w="90"/>
              <w:bottom w:type="dxa" w:w="40"/>
              <w:right w:type="dxa" w:w="90"/>
            </w:tcMar>
            <w:vAlign w:val="center"/>
          </w:tcPr>
          <w:p>
            <w:r>
              <w:rPr>
                <w:rFonts w:ascii="Calibri" w:cs="Calibri" w:eastAsia="Calibri" w:hAnsi="Calibri"/>
                <w:b/>
                <w:bCs/>
                <w:sz w:val="17"/>
                <w:szCs w:val="17"/>
              </w:rPr>
              <w:t xml:space="preserve">CASH</w:t>
            </w:r>
          </w:p>
        </w:tc>
        <w:tc>
          <w:tcPr>
            <w:tcW w:type="dxa" w:w="2260"/>
            <w:shd w:fill="F3F6FA" w:val="clear"/>
            <w:tcMar>
              <w:top w:type="dxa" w:w="40"/>
              <w:left w:type="dxa" w:w="90"/>
              <w:bottom w:type="dxa" w:w="40"/>
              <w:right w:type="dxa" w:w="90"/>
            </w:tcMar>
            <w:vAlign w:val="center"/>
          </w:tcPr>
          <w:p>
            <w:r>
              <w:rPr>
                <w:rFonts w:ascii="Calibri" w:cs="Calibri" w:eastAsia="Calibri" w:hAnsi="Calibri"/>
                <w:sz w:val="15"/>
                <w:szCs w:val="15"/>
              </w:rPr>
              <w:t xml:space="preserve">Cash &amp; Equiv.</w:t>
            </w:r>
          </w:p>
        </w:tc>
        <w:tc>
          <w:tcPr>
            <w:tcW w:type="dxa" w:w="730"/>
            <w:shd w:fill="F3F6FA" w:val="clear"/>
            <w:tcMar>
              <w:top w:type="dxa" w:w="40"/>
              <w:left w:type="dxa" w:w="90"/>
              <w:bottom w:type="dxa" w:w="40"/>
              <w:right w:type="dxa" w:w="90"/>
            </w:tcMar>
            <w:vAlign w:val="center"/>
          </w:tcPr>
          <w:p>
            <w:pPr>
              <w:jc w:val="right"/>
            </w:pPr>
            <w:r>
              <w:rPr>
                <w:rFonts w:ascii="Consolas" w:cs="Consolas" w:eastAsia="Consolas" w:hAnsi="Consolas"/>
                <w:sz w:val="17"/>
                <w:szCs w:val="17"/>
              </w:rPr>
              <w:t xml:space="preserve">13.5</w:t>
            </w:r>
          </w:p>
        </w:tc>
      </w:tr>
      <w:tr>
        <w:tc>
          <w:tcPr>
            <w:tcW w:type="dxa" w:w="560"/>
            <w:tcMar>
              <w:top w:type="dxa" w:w="40"/>
              <w:left w:type="dxa" w:w="90"/>
              <w:bottom w:type="dxa" w:w="40"/>
              <w:right w:type="dxa" w:w="90"/>
            </w:tcMar>
            <w:vAlign w:val="center"/>
          </w:tcPr>
          <w:p>
            <w:pPr>
              <w:jc w:val="center"/>
            </w:pPr>
            <w:r>
              <w:rPr>
                <w:rFonts w:ascii="Consolas" w:cs="Consolas" w:eastAsia="Consolas" w:hAnsi="Consolas"/>
                <w:sz w:val="17"/>
                <w:szCs w:val="17"/>
              </w:rPr>
              <w:t xml:space="preserve">15</w:t>
            </w:r>
          </w:p>
        </w:tc>
        <w:tc>
          <w:tcPr>
            <w:tcW w:type="dxa" w:w="1130"/>
            <w:tcMar>
              <w:top w:type="dxa" w:w="40"/>
              <w:left w:type="dxa" w:w="90"/>
              <w:bottom w:type="dxa" w:w="40"/>
              <w:right w:type="dxa" w:w="90"/>
            </w:tcMar>
            <w:vAlign w:val="center"/>
          </w:tcPr>
          <w:p>
            <w:r>
              <w:rPr>
                <w:rFonts w:ascii="Calibri" w:cs="Calibri" w:eastAsia="Calibri" w:hAnsi="Calibri"/>
                <w:b/>
                <w:bCs/>
                <w:sz w:val="17"/>
                <w:szCs w:val="17"/>
              </w:rPr>
              <w:t xml:space="preserve">V</w:t>
            </w:r>
          </w:p>
        </w:tc>
        <w:tc>
          <w:tcPr>
            <w:tcW w:type="dxa" w:w="2260"/>
            <w:tcMar>
              <w:top w:type="dxa" w:w="40"/>
              <w:left w:type="dxa" w:w="90"/>
              <w:bottom w:type="dxa" w:w="40"/>
              <w:right w:type="dxa" w:w="90"/>
            </w:tcMar>
            <w:vAlign w:val="center"/>
          </w:tcPr>
          <w:p>
            <w:r>
              <w:rPr>
                <w:rFonts w:ascii="Calibri" w:cs="Calibri" w:eastAsia="Calibri" w:hAnsi="Calibri"/>
                <w:sz w:val="15"/>
                <w:szCs w:val="15"/>
              </w:rPr>
              <w:t xml:space="preserve">Financials</w:t>
            </w:r>
          </w:p>
        </w:tc>
        <w:tc>
          <w:tcPr>
            <w:tcW w:type="dxa" w:w="730"/>
            <w:tcMar>
              <w:top w:type="dxa" w:w="40"/>
              <w:left w:type="dxa" w:w="90"/>
              <w:bottom w:type="dxa" w:w="40"/>
              <w:right w:type="dxa" w:w="90"/>
            </w:tcMar>
            <w:vAlign w:val="center"/>
          </w:tcPr>
          <w:p>
            <w:pPr>
              <w:jc w:val="right"/>
            </w:pPr>
            <w:r>
              <w:rPr>
                <w:rFonts w:ascii="Consolas" w:cs="Consolas" w:eastAsia="Consolas" w:hAnsi="Consolas"/>
                <w:sz w:val="17"/>
                <w:szCs w:val="17"/>
              </w:rPr>
              <w:t xml:space="preserve">3.0</w:t>
            </w:r>
          </w:p>
        </w:tc>
        <w:tc>
          <w:tcPr>
            <w:tcW w:type="dxa" w:w="560"/>
            <w:tcMar>
              <w:top w:type="dxa" w:w="40"/>
              <w:left w:type="dxa" w:w="90"/>
              <w:bottom w:type="dxa" w:w="40"/>
              <w:right w:type="dxa" w:w="90"/>
            </w:tcMar>
            <w:vAlign w:val="center"/>
          </w:tcPr>
          <w:p>
            <w:r>
              <w:rPr>
                <w:rFonts w:ascii="Calibri" w:cs="Calibri" w:eastAsia="Calibri" w:hAnsi="Calibri"/>
                <w:sz w:val="17"/>
                <w:szCs w:val="17"/>
              </w:rPr>
              <w:t xml:space="preserve"/>
            </w:r>
          </w:p>
        </w:tc>
        <w:tc>
          <w:tcPr>
            <w:tcW w:type="dxa" w:w="1130"/>
            <w:tcMar>
              <w:top w:type="dxa" w:w="40"/>
              <w:left w:type="dxa" w:w="90"/>
              <w:bottom w:type="dxa" w:w="40"/>
              <w:right w:type="dxa" w:w="90"/>
            </w:tcMar>
            <w:vAlign w:val="center"/>
          </w:tcPr>
          <w:p>
            <w:r>
              <w:rPr>
                <w:rFonts w:ascii="Calibri" w:cs="Calibri" w:eastAsia="Calibri" w:hAnsi="Calibri"/>
                <w:sz w:val="17"/>
                <w:szCs w:val="17"/>
              </w:rPr>
              <w:t xml:space="preserve"/>
            </w:r>
          </w:p>
        </w:tc>
        <w:tc>
          <w:tcPr>
            <w:tcW w:type="dxa" w:w="2260"/>
            <w:tcMar>
              <w:top w:type="dxa" w:w="40"/>
              <w:left w:type="dxa" w:w="90"/>
              <w:bottom w:type="dxa" w:w="40"/>
              <w:right w:type="dxa" w:w="90"/>
            </w:tcMar>
            <w:vAlign w:val="center"/>
          </w:tcPr>
          <w:p>
            <w:r>
              <w:rPr>
                <w:rFonts w:ascii="Calibri" w:cs="Calibri" w:eastAsia="Calibri" w:hAnsi="Calibri"/>
                <w:sz w:val="17"/>
                <w:szCs w:val="17"/>
              </w:rPr>
              <w:t xml:space="preserve"/>
            </w:r>
          </w:p>
        </w:tc>
        <w:tc>
          <w:tcPr>
            <w:tcW w:type="dxa" w:w="730"/>
            <w:tcMar>
              <w:top w:type="dxa" w:w="40"/>
              <w:left w:type="dxa" w:w="90"/>
              <w:bottom w:type="dxa" w:w="40"/>
              <w:right w:type="dxa" w:w="90"/>
            </w:tcMar>
            <w:vAlign w:val="center"/>
          </w:tcPr>
          <w:p>
            <w:r>
              <w:rPr>
                <w:rFonts w:ascii="Calibri" w:cs="Calibri" w:eastAsia="Calibri" w:hAnsi="Calibri"/>
                <w:sz w:val="17"/>
                <w:szCs w:val="17"/>
              </w:rPr>
              <w:t xml:space="preserve"/>
            </w:r>
          </w:p>
        </w:tc>
      </w:tr>
    </w:tbl>
    <w:p>
      <w:pPr>
        <w:spacing w:after="40"/>
      </w:pPr>
      <w:r>
        <w:t xml:space="preserve"/>
      </w:r>
    </w:p>
    <w:p>
      <w:pPr>
        <w:spacing w:after="40"/>
      </w:pPr>
      <w:r>
        <w:rPr>
          <w:rFonts w:ascii="Calibri" w:cs="Calibri" w:eastAsia="Calibri" w:hAnsi="Calibri"/>
          <w:b/>
          <w:bCs/>
          <w:color w:val="0B6E3D"/>
          <w:sz w:val="18"/>
          <w:szCs w:val="18"/>
        </w:rPr>
        <w:t xml:space="preserve">Portfolio sum verified: 100.0% = 100.0%  ✓   |   Max single NVDA 6.5% ≤ 7.0%   |   Technology 33.5% (GICS) ≤ 35.0%   |   Cash 13.5% in band   |   No leverage / options / shorts.</w:t>
      </w:r>
    </w:p>
    <w:p>
      <w:pPr>
        <w:spacing w:after="80"/>
      </w:pPr>
      <w:r>
        <w:rPr>
          <w:rFonts w:ascii="Calibri" w:cs="Calibri" w:eastAsia="Calibri" w:hAnsi="Calibri"/>
          <w:b/>
          <w:bCs/>
          <w:sz w:val="20"/>
          <w:szCs w:val="20"/>
        </w:rPr>
        <w:t xml:space="preserve">Sector flag (CALIBRATED classification). </w:t>
      </w:r>
      <w:r>
        <w:rPr>
          <w:rFonts w:ascii="Calibri" w:cs="Calibri" w:eastAsia="Calibri" w:hAnsi="Calibri"/>
          <w:sz w:val="18"/>
          <w:szCs w:val="18"/>
        </w:rPr>
        <w:t xml:space="preserve">Under the tracker’s in-house labels (AMZN, GOOGL, CRWD, INTC tagged Technology) Technology sums to 42.0%; under GICS (AMZN→Cons. Disc., GOOGL→Comm. Svcs.) it is 33.5%, within the 35.0% cap. No breach under GICS; reconcile labels and refresh the Sector Allocation sheet at the Q3 review.</w:t>
      </w:r>
    </w:p>
    <w:p>
      <w:pPr>
        <w:pStyle w:val="Heading1"/>
        <w:spacing w:after="90" w:before="200"/>
      </w:pPr>
      <w:r>
        <w:rPr>
          <w:rFonts w:ascii="Calibri" w:cs="Calibri" w:eastAsia="Calibri" w:hAnsi="Calibri"/>
          <w:b/>
          <w:bCs/>
          <w:color w:val="365F91"/>
          <w:sz w:val="28"/>
          <w:szCs w:val="28"/>
        </w:rPr>
        <w:t xml:space="preserve">8.  Sources &amp; Methodology</w:t>
      </w:r>
    </w:p>
    <w:p>
      <w:pPr>
        <w:pStyle w:val="ListParagraph"/>
        <w:numPr>
          <w:ilvl w:val="0"/>
          <w:numId w:val="1"/>
        </w:numPr>
        <w:spacing w:after="20"/>
      </w:pPr>
      <w:r>
        <w:rPr>
          <w:rFonts w:ascii="Calibri" w:cs="Calibri" w:eastAsia="Calibri" w:hAnsi="Calibri"/>
          <w:sz w:val="17"/>
          <w:szCs w:val="17"/>
        </w:rPr>
        <w:t xml:space="preserve">Market/pre-market: TheStreet, CNBC, CNN (Jul 1, 2026).</w:t>
      </w:r>
    </w:p>
    <w:p>
      <w:pPr>
        <w:pStyle w:val="ListParagraph"/>
        <w:numPr>
          <w:ilvl w:val="0"/>
          <w:numId w:val="1"/>
        </w:numPr>
        <w:spacing w:after="20"/>
      </w:pPr>
      <w:r>
        <w:rPr>
          <w:rFonts w:ascii="Calibri" w:cs="Calibri" w:eastAsia="Calibri" w:hAnsi="Calibri"/>
          <w:sz w:val="17"/>
          <w:szCs w:val="17"/>
        </w:rPr>
        <w:t xml:space="preserve">Oil: fxdailyreport, Trading Economics, CME (Jul 1, 2026).</w:t>
      </w:r>
    </w:p>
    <w:p>
      <w:pPr>
        <w:pStyle w:val="ListParagraph"/>
        <w:numPr>
          <w:ilvl w:val="0"/>
          <w:numId w:val="1"/>
        </w:numPr>
        <w:spacing w:after="20"/>
      </w:pPr>
      <w:r>
        <w:rPr>
          <w:rFonts w:ascii="Calibri" w:cs="Calibri" w:eastAsia="Calibri" w:hAnsi="Calibri"/>
          <w:sz w:val="17"/>
          <w:szCs w:val="17"/>
        </w:rPr>
        <w:t xml:space="preserve">Semis: Kavout, CNBC, Yahoo Finance (Jun–Jul 2026).</w:t>
      </w:r>
    </w:p>
    <w:p>
      <w:pPr>
        <w:pStyle w:val="ListParagraph"/>
        <w:numPr>
          <w:ilvl w:val="0"/>
          <w:numId w:val="1"/>
        </w:numPr>
        <w:spacing w:after="20"/>
      </w:pPr>
      <w:r>
        <w:rPr>
          <w:rFonts w:ascii="Calibri" w:cs="Calibri" w:eastAsia="Calibri" w:hAnsi="Calibri"/>
          <w:sz w:val="17"/>
          <w:szCs w:val="17"/>
        </w:rPr>
        <w:t xml:space="preserve">MSFT: Wedbush, Goldman Sachs, Forbes, Microsoft IR (Jun–Jul 2026).</w:t>
      </w:r>
    </w:p>
    <w:p>
      <w:pPr>
        <w:pStyle w:val="ListParagraph"/>
        <w:numPr>
          <w:ilvl w:val="0"/>
          <w:numId w:val="1"/>
        </w:numPr>
        <w:spacing w:after="20"/>
      </w:pPr>
      <w:r>
        <w:rPr>
          <w:rFonts w:ascii="Calibri" w:cs="Calibri" w:eastAsia="Calibri" w:hAnsi="Calibri"/>
          <w:sz w:val="17"/>
          <w:szCs w:val="17"/>
        </w:rPr>
        <w:t xml:space="preserve">UNH: Barchart, Yahoo Finance, MarketBeat (Jun–Jul 2026).</w:t>
      </w:r>
    </w:p>
    <w:p>
      <w:pPr>
        <w:pStyle w:val="ListParagraph"/>
        <w:numPr>
          <w:ilvl w:val="0"/>
          <w:numId w:val="1"/>
        </w:numPr>
        <w:spacing w:after="20"/>
      </w:pPr>
      <w:r>
        <w:rPr>
          <w:rFonts w:ascii="Calibri" w:cs="Calibri" w:eastAsia="Calibri" w:hAnsi="Calibri"/>
          <w:sz w:val="17"/>
          <w:szCs w:val="17"/>
        </w:rPr>
        <w:t xml:space="preserve">ANET/GS: KeyBanc, BofA, Barclays, CNBC, Yahoo Finance (Jun–Jul 2026).</w:t>
      </w:r>
    </w:p>
    <w:p>
      <w:pPr>
        <w:pStyle w:val="ListParagraph"/>
        <w:numPr>
          <w:ilvl w:val="0"/>
          <w:numId w:val="1"/>
        </w:numPr>
        <w:spacing w:after="20"/>
      </w:pPr>
      <w:r>
        <w:rPr>
          <w:rFonts w:ascii="Calibri" w:cs="Calibri" w:eastAsia="Calibri" w:hAnsi="Calibri"/>
          <w:sz w:val="17"/>
          <w:szCs w:val="17"/>
        </w:rPr>
        <w:t xml:space="preserve">Weights: WM_Growth_Portfolio_Apr2026.xlsx — Portfolio Overview (ground truth).</w:t>
      </w:r>
    </w:p>
    <w:p>
      <w:pPr>
        <w:spacing w:after="40"/>
      </w:pPr>
      <w:r>
        <w:t xml:space="preserve"/>
      </w:r>
    </w:p>
    <w:p>
      <w:pPr>
        <w:spacing w:after="80"/>
      </w:pPr>
      <w:r>
        <w:rPr>
          <w:rFonts w:ascii="Calibri" w:cs="Calibri" w:eastAsia="Calibri" w:hAnsi="Calibri"/>
          <w:b/>
          <w:bCs/>
          <w:sz w:val="20"/>
          <w:szCs w:val="20"/>
        </w:rPr>
        <w:t xml:space="preserve">Provenance. </w:t>
      </w:r>
      <w:r>
        <w:rPr>
          <w:rFonts w:ascii="Calibri" w:cs="Calibri" w:eastAsia="Calibri" w:hAnsi="Calibri"/>
          <w:sz w:val="18"/>
          <w:szCs w:val="18"/>
        </w:rPr>
        <w:t xml:space="preserve">SOURCED = live/delayed data retrieved at write time. CONFIRMED = tracker ground-truth weights (sum 100.0%). CALIBRATED = position-level drift estimates (PLTR ~1.8–2.0%; carry gaps UNH/MU) fit to reconcile with confirmed weights; not a substitute for sourced marks and not presented as alpha. </w:t>
      </w:r>
      <w:r>
        <w:rPr>
          <w:rFonts w:ascii="Calibri" w:cs="Calibri" w:eastAsia="Calibri" w:hAnsi="Calibri"/>
          <w:sz w:val="18"/>
          <w:szCs w:val="18"/>
        </w:rPr>
        <w:t xml:space="preserve">Prior-run reconciliation: a concurrent July 1 run logged a report block (Daily Report Log rows 427–436) but left no .docx on disk; this document is that missing deliverable, aligned to the current log lineage. Duplicate rows this session generated were removed to keep the tracker journal clean.</w:t>
      </w:r>
    </w:p>
    <w:p>
      <w:pPr>
        <w:spacing w:before="100"/>
      </w:pPr>
      <w:r>
        <w:rPr>
          <w:rFonts w:ascii="Calibri" w:cs="Calibri" w:eastAsia="Calibri" w:hAnsi="Calibri"/>
          <w:i/>
          <w:iCs/>
          <w:color w:val="777777"/>
          <w:sz w:val="16"/>
          <w:szCs w:val="16"/>
        </w:rPr>
        <w:t xml:space="preserve">This report is prepared for internal wealth-management use. It is not investment advice and not an offer to buy or sell any security. Figures are approximate and time-sensitive; past performance does not indicate future results. Governed by WM Growth Portfolio IPS v1.0.</w:t>
      </w:r>
    </w:p>
    <w:sectPr>
      <w:pgSz w:w="12240" w:h="15840" w:orient="portrait"/>
      <w:pgMar w:top="1010" w:right="1150" w:bottom="101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Calibri" w:cs="Calibri" w:eastAsia="Calibri" w:hAnsi="Calibri"/>
      <w:b/>
      <w:bCs/>
      <w:color w:val="365F9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2026-07-01T14:11:10.140Z</dcterms:created>
  <dcterms:modified xsi:type="dcterms:W3CDTF">2026-07-01T14:11:10.140Z</dcterms:modified>
</cp:coreProperties>
</file>

<file path=docProps/custom.xml><?xml version="1.0" encoding="utf-8"?>
<Properties xmlns="http://schemas.openxmlformats.org/officeDocument/2006/custom-properties" xmlns:vt="http://schemas.openxmlformats.org/officeDocument/2006/docPropsVTypes"/>
</file>