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6"/>
        </w:rPr>
        <w:t>DAILY PRE-MARKET PORTFOLIO REPORT</w:t>
      </w:r>
    </w:p>
    <w:p>
      <w:pPr>
        <w:jc w:val="center"/>
      </w:pPr>
      <w:r>
        <w:rPr>
          <w:rFonts w:ascii="Calibri" w:hAnsi="Calibri"/>
          <w:b w:val="0"/>
          <w:i/>
          <w:sz w:val="22"/>
        </w:rPr>
        <w:t>Long-Term Growth Portfolio  |  Active Wealth Management</w:t>
      </w:r>
    </w:p>
    <w:p>
      <w:pPr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Report Date: Friday, May 8, 2026  |  Benchmark: S&amp;P 500  |  Horizon: Long-Term Growth</w:t>
      </w:r>
    </w:p>
    <w:p>
      <w:pPr>
        <w:pStyle w:val="Heading1"/>
      </w:pPr>
      <w:r>
        <w:rPr>
          <w:rFonts w:ascii="Calibri" w:hAnsi="Calibri"/>
          <w:b/>
          <w:color w:val="365F91"/>
          <w:sz w:val="28"/>
        </w:rPr>
        <w:t>1. Market Snapshot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4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2016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Pre-Market</w:t>
            </w:r>
          </w:p>
        </w:tc>
        <w:tc>
          <w:tcPr>
            <w:tcW w:type="dxa" w:w="374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Level / Note</w:t>
            </w:r>
          </w:p>
        </w:tc>
        <w:tc>
          <w:tcPr>
            <w:tcW w:type="dxa" w:w="1296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Tag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S&amp;P 500 e-minis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+0.33%</w:t>
            </w:r>
          </w:p>
        </w:tc>
        <w:tc>
          <w:tcPr>
            <w:tcW w:type="dxa" w:w="374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7,387.50</w:t>
            </w:r>
          </w:p>
        </w:tc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SOURCED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Nasdaq 100 e-minis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+0.51%</w:t>
            </w:r>
          </w:p>
        </w:tc>
        <w:tc>
          <w:tcPr>
            <w:tcW w:type="dxa" w:w="374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28,827.50</w:t>
            </w:r>
          </w:p>
        </w:tc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SOURCED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Dow futures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+0.20%</w:t>
            </w:r>
          </w:p>
        </w:tc>
        <w:tc>
          <w:tcPr>
            <w:tcW w:type="dxa" w:w="374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49,800.00</w:t>
            </w:r>
          </w:p>
        </w:tc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SOURCED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WTI crude (spot)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~$96.0/bbl</w:t>
            </w:r>
          </w:p>
        </w:tc>
        <w:tc>
          <w:tcPr>
            <w:tcW w:type="dxa" w:w="374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Hormuz exchange continues</w:t>
            </w:r>
          </w:p>
        </w:tc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SOURCED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10-yr Treasury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n/a (NFP-day repricing)</w:t>
            </w:r>
          </w:p>
        </w:tc>
        <w:tc>
          <w:tcPr>
            <w:tcW w:type="dxa" w:w="374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Hawkish tilt post-NFP</w:t>
            </w:r>
          </w:p>
        </w:tc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SOURCED</w:t>
            </w:r>
          </w:p>
        </w:tc>
      </w:tr>
    </w:tbl>
    <w:p>
      <w:r>
        <w:rPr>
          <w:rFonts w:ascii="Calibri" w:hAnsi="Calibri"/>
          <w:b w:val="0"/>
          <w:i w:val="0"/>
          <w:sz w:val="20"/>
        </w:rPr>
        <w:t>Macro lens: April nonfarm payrolls printed +115k versus +55k consensus, with unemployment unchanged at 4.3% and average hourly earnings +3.6% YoY. The print invalidates the conditional cash-deploy plan (which required NFP &lt;30k AND market −1.5%); reactive posture is preserved at the 15.0% cash floor. The U.S.–Iran exchange of fire in the Strait of Hormuz continues without supply disruption; WTI is steady near $96 and the &lt;$90 sustained-close trim trigger remains unmet.</w:t>
      </w:r>
    </w:p>
    <w:p>
      <w:pPr>
        <w:pStyle w:val="Heading1"/>
      </w:pPr>
      <w:r>
        <w:rPr>
          <w:rFonts w:ascii="Calibri" w:hAnsi="Calibri"/>
          <w:b/>
          <w:color w:val="365F91"/>
          <w:sz w:val="28"/>
        </w:rPr>
        <w:t>2. Scan 1 — Holdings Review (Affected Names)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Ticker</w:t>
            </w:r>
          </w:p>
        </w:tc>
        <w:tc>
          <w:tcPr>
            <w:tcW w:type="dxa" w:w="518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Headline / Read</w:t>
            </w:r>
          </w:p>
        </w:tc>
        <w:tc>
          <w:tcPr>
            <w:tcW w:type="dxa" w:w="230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00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Tag</w:t>
            </w:r>
          </w:p>
        </w:tc>
      </w:tr>
      <w:tr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NVDA</w:t>
            </w:r>
          </w:p>
        </w:tc>
        <w:tc>
          <w:tcPr>
            <w:tcW w:type="dxa" w:w="51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$215.54 intraday; ATH $216.83 (Apr 27). Q1 FY27 May 20 AMC remains marquee catalyst.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HOLD 6.5%</w:t>
            </w:r>
          </w:p>
        </w:tc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SOURCED</w:t>
            </w:r>
          </w:p>
        </w:tc>
      </w:tr>
      <w:tr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META</w:t>
            </w:r>
          </w:p>
        </w:tc>
        <w:tc>
          <w:tcPr>
            <w:tcW w:type="dxa" w:w="51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Q1 ad rev +33% YoY digested; stock $619.87 (May 7 close +0.50%). No new headline.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HOLD 4.5%</w:t>
            </w:r>
          </w:p>
        </w:tc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SOURCED</w:t>
            </w:r>
          </w:p>
        </w:tc>
      </w:tr>
      <w:tr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LLY</w:t>
            </w:r>
          </w:p>
        </w:tc>
        <w:tc>
          <w:tcPr>
            <w:tcW w:type="dxa" w:w="51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March HSBC 'Reduce' downgrade ($850 PT) re-surfaced; thesis intact, Q1 (Apr 30) reaction stable +9%.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HOLD 4.5%</w:t>
            </w:r>
          </w:p>
        </w:tc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SOURCED</w:t>
            </w:r>
          </w:p>
        </w:tc>
      </w:tr>
      <w:tr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JPM</w:t>
            </w:r>
          </w:p>
        </w:tc>
        <w:tc>
          <w:tcPr>
            <w:tcW w:type="dxa" w:w="51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Q1 EPS $5.94 beat already in price; no fresh catalyst.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HOLD 4.5%</w:t>
            </w:r>
          </w:p>
        </w:tc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CONFIRMED</w:t>
            </w:r>
          </w:p>
        </w:tc>
      </w:tr>
      <w:tr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PLTR</w:t>
            </w:r>
          </w:p>
        </w:tc>
        <w:tc>
          <w:tcPr>
            <w:tcW w:type="dxa" w:w="51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Argus upgraded to Buy with $190 PT after Q1 +85% revenue print. Wedbush PT to $230, Rosenblatt $225.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HOLD 3.0% (no add capacity)</w:t>
            </w:r>
          </w:p>
        </w:tc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SOURCED</w:t>
            </w:r>
          </w:p>
        </w:tc>
      </w:tr>
      <w:tr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UNH</w:t>
            </w:r>
          </w:p>
        </w:tc>
        <w:tc>
          <w:tcPr>
            <w:tcW w:type="dxa" w:w="51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May 7 close $369.74 (+0.67%); PA elimination announcement (30% of services). Carry-value $510 vs market ~$370 reconciliation FLAG persists.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HOLD 3.0% — FLAG</w:t>
            </w:r>
          </w:p>
        </w:tc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SOURCED</w:t>
            </w:r>
          </w:p>
        </w:tc>
      </w:tr>
      <w:tr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XOM / EOG</w:t>
            </w:r>
          </w:p>
        </w:tc>
        <w:tc>
          <w:tcPr>
            <w:tcW w:type="dxa" w:w="51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WTI ~$96; Brent ~$98. &lt;$90 sustained-close trim trigger NOT met.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HOLD XOM 3.0% / EOG 2.5%</w:t>
            </w:r>
          </w:p>
        </w:tc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SOURCED</w:t>
            </w:r>
          </w:p>
        </w:tc>
      </w:tr>
      <w:tr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AVGO / TSM / MU</w:t>
            </w:r>
          </w:p>
        </w:tc>
        <w:tc>
          <w:tcPr>
            <w:tcW w:type="dxa" w:w="51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ARM supply-cap signal positive read-through to foundry/memory; no new headline.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HOLD AVGO 4.0 / TSM 3.0 / MU 2.5</w:t>
            </w:r>
          </w:p>
        </w:tc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SOURCED</w:t>
            </w:r>
          </w:p>
        </w:tc>
      </w:tr>
      <w:tr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PANW / CRWD</w:t>
            </w:r>
          </w:p>
        </w:tc>
        <w:tc>
          <w:tcPr>
            <w:tcW w:type="dxa" w:w="51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BTIG raised PANW PT to $216; CRWD +22% MTD. OpenAI in-platform overhang fades.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HOLD PANW 4.0% / CRWD 1.5%</w:t>
            </w:r>
          </w:p>
        </w:tc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SOURCED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365F91"/>
          <w:sz w:val="28"/>
        </w:rPr>
        <w:t>3. Scan 2 — New Opportunities &amp; Watchlist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Ticker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Catalyst / Trigger</w:t>
            </w:r>
          </w:p>
        </w:tc>
        <w:tc>
          <w:tcPr>
            <w:tcW w:type="dxa" w:w="1296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Confidence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Proposed Size</w:t>
            </w:r>
          </w:p>
        </w:tc>
        <w:tc>
          <w:tcPr>
            <w:tcW w:type="dxa" w:w="1440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ARM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Post-print −7.3%; price ~$130 area. Trigger (sustained close &lt;$130 AND supply-capacity confirmation) NOT met.</w:t>
            </w:r>
          </w:p>
        </w:tc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LOW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1.0% from cash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WATCH</w:t>
            </w:r>
          </w:p>
        </w:tc>
      </w:tr>
      <w:tr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SPOT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Last $446.55 area. Original &lt;$650 trigger long since met; cash floor blocks deployment.</w:t>
            </w:r>
          </w:p>
        </w:tc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MED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1.5% from cash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WATCH — cash-floor blocked</w:t>
            </w:r>
          </w:p>
        </w:tc>
      </w:tr>
      <w:tr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MDB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BofA PT $500; awaiting accelerating-revenue confirmation.</w:t>
            </w:r>
          </w:p>
        </w:tc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LOW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1.0–1.5%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WATCH</w:t>
            </w:r>
          </w:p>
        </w:tc>
      </w:tr>
    </w:tbl>
    <w:p>
      <w:r>
        <w:rPr>
          <w:rFonts w:ascii="Calibri" w:hAnsi="Calibri"/>
          <w:b w:val="0"/>
          <w:i/>
          <w:sz w:val="20"/>
        </w:rPr>
        <w:t>All watchlist candidates require entry-trigger confirmation; cash at the 15.0% floor restricts new-entry capacity until the band re-opens via trims or reaches the 16.0%+ rebuild threshold.</w:t>
      </w:r>
    </w:p>
    <w:p>
      <w:pPr>
        <w:pStyle w:val="Heading1"/>
      </w:pPr>
      <w:r>
        <w:rPr>
          <w:rFonts w:ascii="Calibri" w:hAnsi="Calibri"/>
          <w:b/>
          <w:color w:val="365F91"/>
          <w:sz w:val="28"/>
        </w:rPr>
        <w:t>4. Cash Recommendation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172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Reading</w:t>
            </w:r>
          </w:p>
        </w:tc>
        <w:tc>
          <w:tcPr>
            <w:tcW w:type="dxa" w:w="4896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Rationale</w:t>
            </w:r>
          </w:p>
        </w:tc>
        <w:tc>
          <w:tcPr>
            <w:tcW w:type="dxa" w:w="100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Tag</w:t>
            </w:r>
          </w:p>
        </w:tc>
      </w:tr>
      <w:tr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Pre-action cash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15.0%</w:t>
            </w:r>
          </w:p>
        </w:tc>
        <w:tc>
          <w:tcPr>
            <w:tcW w:type="dxa" w:w="48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At self-imposed floor (IPS band 10–20%, midpoint 15%)</w:t>
            </w:r>
          </w:p>
        </w:tc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CONFIRMED</w:t>
            </w:r>
          </w:p>
        </w:tc>
      </w:tr>
      <w:tr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Conditional deploy plan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Voided</w:t>
            </w:r>
          </w:p>
        </w:tc>
        <w:tc>
          <w:tcPr>
            <w:tcW w:type="dxa" w:w="48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NFP +115k beat invalidates 'NFP &lt;30k AND market −1.5%' deploy condition</w:t>
            </w:r>
          </w:p>
        </w:tc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CALIBRATED</w:t>
            </w:r>
          </w:p>
        </w:tc>
      </w:tr>
      <w:tr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Reactive trim trigger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Inactive</w:t>
            </w:r>
          </w:p>
        </w:tc>
        <w:tc>
          <w:tcPr>
            <w:tcW w:type="dxa" w:w="48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WTI &lt;$90 sustained close NOT confirmed; energy held at rebuilt weights</w:t>
            </w:r>
          </w:p>
        </w:tc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SOURCED</w:t>
            </w:r>
          </w:p>
        </w:tc>
      </w:tr>
      <w:tr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Recommendation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HOLD 15.0%</w:t>
            </w:r>
          </w:p>
        </w:tc>
        <w:tc>
          <w:tcPr>
            <w:tcW w:type="dxa" w:w="48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Reactive only on macro shock or thesis break</w:t>
            </w:r>
          </w:p>
        </w:tc>
        <w:tc>
          <w:tcPr>
            <w:tcW w:type="dxa" w:w="10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CALIBRATED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365F91"/>
          <w:sz w:val="28"/>
        </w:rPr>
        <w:t>5. Pending Catalysts — Status Update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02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Catalyst</w:t>
            </w:r>
          </w:p>
        </w:tc>
        <w:tc>
          <w:tcPr>
            <w:tcW w:type="dxa" w:w="2016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Date / State</w:t>
            </w:r>
          </w:p>
        </w:tc>
        <w:tc>
          <w:tcPr>
            <w:tcW w:type="dxa" w:w="446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  <w:tc>
          <w:tcPr>
            <w:tcW w:type="dxa" w:w="1152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0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NVDA Q1 FY27 print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Tue 2026-05-20 AMC</w:t>
            </w:r>
          </w:p>
        </w:tc>
        <w:tc>
          <w:tcPr>
            <w:tcW w:type="dxa" w:w="44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Cons rev $78.8B (+78.6% YoY); EPS $1.77.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Pending</w:t>
            </w:r>
          </w:p>
        </w:tc>
      </w:tr>
      <w:tr>
        <w:tc>
          <w:tcPr>
            <w:tcW w:type="dxa" w:w="30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UNH carry-value reconciliation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Open</w:t>
            </w:r>
          </w:p>
        </w:tc>
        <w:tc>
          <w:tcPr>
            <w:tcW w:type="dxa" w:w="44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Tracker carry $510 vs market ~$370.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FLAG</w:t>
            </w:r>
          </w:p>
        </w:tc>
      </w:tr>
      <w:tr>
        <w:tc>
          <w:tcPr>
            <w:tcW w:type="dxa" w:w="30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WTI &lt;$90 sustained close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Open</w:t>
            </w:r>
          </w:p>
        </w:tc>
        <w:tc>
          <w:tcPr>
            <w:tcW w:type="dxa" w:w="44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Currently ~$96; trim trigger inactive.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MONITOR</w:t>
            </w:r>
          </w:p>
        </w:tc>
      </w:tr>
      <w:tr>
        <w:tc>
          <w:tcPr>
            <w:tcW w:type="dxa" w:w="30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LLY &lt;$920 close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Active</w:t>
            </w:r>
          </w:p>
        </w:tc>
        <w:tc>
          <w:tcPr>
            <w:tcW w:type="dxa" w:w="44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Still above $920 area in latest reads; add 4.0→4.5% on sustained close.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MONITOR</w:t>
            </w:r>
          </w:p>
        </w:tc>
      </w:tr>
      <w:tr>
        <w:tc>
          <w:tcPr>
            <w:tcW w:type="dxa" w:w="30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Drawdown trigger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Inactive</w:t>
            </w:r>
          </w:p>
        </w:tc>
        <w:tc>
          <w:tcPr>
            <w:tcW w:type="dxa" w:w="44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WTD constructive; raise cash toward 20% if WTD ≤ −3%.</w:t>
            </w:r>
          </w:p>
        </w:tc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MONITOR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365F91"/>
          <w:sz w:val="28"/>
        </w:rPr>
        <w:t>6. Recommended Weight Changes (today)</w:t>
      </w:r>
    </w:p>
    <w:p>
      <w:r>
        <w:rPr>
          <w:rFonts w:ascii="Calibri" w:hAnsi="Calibri"/>
          <w:b/>
          <w:sz w:val="20"/>
        </w:rPr>
        <w:t xml:space="preserve">Recommendation: NO WEIGHT CHANGES TODAY. </w:t>
      </w:r>
      <w:r>
        <w:rPr>
          <w:rFonts w:ascii="Calibri" w:hAnsi="Calibri"/>
          <w:sz w:val="20"/>
        </w:rPr>
        <w:t>Cash at the 15.0% floor; conditional deploy plan voided by hawkish NFP read; energy hold maintained with WTI ~$96 above the &lt;$90 trim trigger; cybersecurity overhang easing without action; PLTR Argus upgrade noted but no add capacity. Reactive posture preserved through the May 20 NVDA print. Pre-mortem (no-action stance): wrong if a macro shock (CPI/PPI surprise, Hormuz supply disruption) breaks the held thesis before May 20 and we lack dry powder to absorb mark-downs.</w:t>
      </w:r>
    </w:p>
    <w:p>
      <w:r>
        <w:rPr>
          <w:rFonts w:ascii="Calibri" w:hAnsi="Calibri"/>
          <w:b w:val="0"/>
          <w:i/>
          <w:sz w:val="20"/>
        </w:rPr>
        <w:t>Post-trade IPS check: largest single position NVDA 6.5% (≤7.0% ✓); max sector Tech 33.5% (≤35.0% ✓); cash 15.0% (within 10–20% ✓); no leverage / options / shorts.</w:t>
      </w:r>
    </w:p>
    <w:p>
      <w:pPr>
        <w:pStyle w:val="Heading1"/>
      </w:pPr>
      <w:r>
        <w:rPr>
          <w:rFonts w:ascii="Calibri" w:hAnsi="Calibri"/>
          <w:b/>
          <w:color w:val="365F91"/>
          <w:sz w:val="28"/>
        </w:rPr>
        <w:t>7. Full Portfolio — 27 Positions + Cash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96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Ticker</w:t>
            </w:r>
          </w:p>
        </w:tc>
        <w:tc>
          <w:tcPr>
            <w:tcW w:type="dxa" w:w="6192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Sector</w:t>
            </w:r>
          </w:p>
        </w:tc>
        <w:tc>
          <w:tcPr>
            <w:tcW w:type="dxa" w:w="1440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Weight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NVDA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Technology – AI Infrastructure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6.5%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AMZN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Technology – Cloud / E-Commerce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5.5%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META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Communication Services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4.5%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LLY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Healthcare – Pharma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4.5%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JPM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Financials – Banking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4.5%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AVGO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Technology – Semiconductors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4.0%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MSFT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Technology – Enterprise Software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4.0%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PANW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Technology – Cybersecurity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4.0%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QQQ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ETF – Nasdaq-100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3.5%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ORCL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Technology – Cloud Database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3.5%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GOOGL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Technology – Search / Cloud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3.0%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PLTR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Technology – AI Software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3.0%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UNH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Healthcare – Managed Care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3.0%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XOM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Energy – Integrated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3.0%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Financials – Payments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3.0%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TSM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Technology – Foundry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3.0%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VUG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ETF – Large-Cap Growth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2.5%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SCHD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ETF – Dividend / Income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2.5%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MU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Technology – Memory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2.5%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EOG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Energy – E&amp;P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2.5%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COST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Consumer Staples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2.5%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DASH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Consumer Discretionary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2.0%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NEE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Utilities – Renewables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2.0%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ABBV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Healthcare – Biotech / Pharma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1.5%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NFLX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Communication Services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1.5%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CRWD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Technology – Cybersecurity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1.5%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INTC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Technology – Semiconductors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1.5%</w:t>
            </w:r>
          </w:p>
        </w:tc>
      </w:tr>
      <w:tr>
        <w:tc>
          <w:tcPr>
            <w:tcW w:type="dxa" w:w="12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CASH</w:t>
            </w:r>
          </w:p>
        </w:tc>
        <w:tc>
          <w:tcPr>
            <w:tcW w:type="dxa" w:w="61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Cash &amp; Equivalents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Consolas" w:hAnsi="Consolas"/>
                <w:b w:val="0"/>
                <w:sz w:val="20"/>
              </w:rPr>
              <w:t>15.0%</w:t>
            </w:r>
          </w:p>
        </w:tc>
      </w:tr>
    </w:tbl>
    <w:p>
      <w:r>
        <w:rPr>
          <w:rFonts w:ascii="Calibri" w:hAnsi="Calibri"/>
          <w:b/>
          <w:color w:val="0B6E3D"/>
          <w:sz w:val="20"/>
        </w:rPr>
        <w:t>Portfolio sum verified: 100.0% = 100.0% ✓</w:t>
      </w:r>
    </w:p>
    <w:p>
      <w:pPr>
        <w:pStyle w:val="Heading1"/>
      </w:pPr>
      <w:r>
        <w:rPr>
          <w:rFonts w:ascii="Calibri" w:hAnsi="Calibri"/>
          <w:b/>
          <w:color w:val="365F91"/>
          <w:sz w:val="28"/>
        </w:rPr>
        <w:t>8. Sources &amp; Methodology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Market data: </w:t>
      </w:r>
      <w:r>
        <w:rPr>
          <w:rFonts w:ascii="Calibri" w:hAnsi="Calibri"/>
          <w:sz w:val="20"/>
        </w:rPr>
        <w:t>Yahoo Finance, CNBC, TheStreet, TradingEconomics (May 7–8, 2026).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Macro / NFP: </w:t>
      </w:r>
      <w:r>
        <w:rPr>
          <w:rFonts w:ascii="Calibri" w:hAnsi="Calibri"/>
          <w:sz w:val="20"/>
        </w:rPr>
        <w:t>BLS Employment Situation – April 2026; CNBC jobs-report write-up.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Energy / Geopolitics: </w:t>
      </w:r>
      <w:r>
        <w:rPr>
          <w:rFonts w:ascii="Calibri" w:hAnsi="Calibri"/>
          <w:sz w:val="20"/>
        </w:rPr>
        <w:t>CNBC, Al Jazeera, Axios, Reuters/CNN live updates (May 6–8, 2026).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Holdings news: </w:t>
      </w:r>
      <w:r>
        <w:rPr>
          <w:rFonts w:ascii="Calibri" w:hAnsi="Calibri"/>
          <w:sz w:val="20"/>
        </w:rPr>
        <w:t>247WallSt, Seeking Alpha, GuruFocus, Stocktwits, TipRanks, TradingKey, BTIG channel checks.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Provenance: </w:t>
      </w:r>
      <w:r>
        <w:rPr>
          <w:rFonts w:ascii="Calibri" w:hAnsi="Calibri"/>
          <w:sz w:val="20"/>
        </w:rPr>
        <w:t>SOURCED = retrieved at write time; CONFIRMED = user-supplied aggregate; CALIBRATED = position-level fit to reconcile with a CONFIRMED aggregate.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Note: </w:t>
      </w:r>
      <w:r>
        <w:rPr>
          <w:rFonts w:ascii="Calibri" w:hAnsi="Calibri"/>
          <w:sz w:val="20"/>
        </w:rPr>
        <w:t>Afternoon refresh of the May 8 morning report; tracker REFRESH row appended.</w:t>
      </w:r>
    </w:p>
    <w:p>
      <w:r>
        <w:rPr>
          <w:rFonts w:ascii="Calibri" w:hAnsi="Calibri"/>
          <w:b w:val="0"/>
          <w:i/>
          <w:color w:val="777777"/>
          <w:sz w:val="16"/>
        </w:rPr>
        <w:t>Internal research only; not investment advice. Prices approximate. Recommendations governed by IPS v1.0 (effective 2026-04-21).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