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DAILY PRE-MARKET PORTFOLIO REPORT</w:t>
      </w:r>
    </w:p>
    <w:p>
      <w:pPr>
        <w:jc w:val="center"/>
      </w:pPr>
      <w:r>
        <w:rPr>
          <w:rFonts w:ascii="Calibri" w:hAnsi="Calibri"/>
          <w:i/>
          <w:sz w:val="22"/>
        </w:rPr>
        <w:t>Long-Term Growth Portfolio  |  Active Wealth Management</w:t>
      </w:r>
    </w:p>
    <w:p>
      <w:pPr>
        <w:jc w:val="center"/>
      </w:pPr>
      <w:r>
        <w:rPr>
          <w:rFonts w:ascii="Calibri" w:hAnsi="Calibri"/>
          <w:color w:val="555555"/>
          <w:sz w:val="20"/>
        </w:rPr>
        <w:t>Report Date: Thursday, May 14, 2026  |  Benchmark: S&amp;P 500  |  Horizon: Long-Term Growth</w:t>
      </w:r>
    </w:p>
    <w:p>
      <w:pPr>
        <w:spacing w:before="160" w:after="80"/>
      </w:pPr>
      <w:r>
        <w:rPr>
          <w:rFonts w:ascii="Calibri" w:hAnsi="Calibri"/>
          <w:b/>
          <w:color w:val="365F91"/>
          <w:sz w:val="28"/>
        </w:rPr>
        <w:t>1. Market Snapshot — Pre-Market / Macro</w:t>
      </w:r>
    </w:p>
    <w:tbl>
      <w:tblPr>
        <w:tblW w:type="auto" w:w="0"/>
        <w:jc w:val="left"/>
        <w:tblLook w:firstColumn="1" w:firstRow="1" w:lastColumn="0" w:lastRow="0" w:noHBand="0" w:noVBand="1" w:val="04A0"/>
      </w:tblPr>
      <w:tblGrid>
        <w:gridCol w:w="2484"/>
        <w:gridCol w:w="2484"/>
        <w:gridCol w:w="2484"/>
        <w:gridCol w:w="2484"/>
      </w:tblGrid>
      <w:tr>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Instrument</w:t>
            </w:r>
          </w:p>
        </w:tc>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Level</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Change</w:t>
            </w:r>
          </w:p>
        </w:tc>
        <w:tc>
          <w:tcPr>
            <w:tcW w:type="dxa" w:w="129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Tag</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S&amp;P 500 e-minis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7,490.50</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+21.00 / +0.28%</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Nasdaq 100 e-minis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29,548.25</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+69.00 / +0.23%</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Dow futures</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50,139</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+347 / +0.70%</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WTI crude (front)</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≈$102/bbl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Wed -7.6% pullback off prior rally</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Brent crude</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≈$105/bbl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Range-bound; Hormuz risk premium intact</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April CPI (May 12)</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+0.6% m/m / +3.8% y/y</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Headline highest since May 2023</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r>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April PPI (May 14)</w:t>
            </w:r>
          </w:p>
        </w:tc>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+1.4% m/m / +6.0% y/y</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Largest m/m since Mar 2022</w:t>
            </w:r>
          </w:p>
        </w:tc>
        <w:tc>
          <w:tcPr>
            <w:tcW w:type="dxa" w:w="1296"/>
            <w:tcBorders>
              <w:top w:val="single" w:sz="4" w:color="BFBFBF"/>
              <w:left w:val="single" w:sz="4" w:color="BFBFBF"/>
              <w:bottom w:val="single" w:sz="4" w:color="BFBFBF"/>
              <w:right w:val="single" w:sz="4" w:color="BFBFBF"/>
            </w:tcBorders>
            <w:vAlign w:val="top"/>
          </w:tcPr>
          <w:p>
            <w:r>
              <w:rPr>
                <w:rFonts w:ascii="Calibri" w:hAnsi="Calibri"/>
                <w:sz w:val="18"/>
              </w:rPr>
              <w:t>SOURCED</w:t>
            </w:r>
          </w:p>
        </w:tc>
      </w:tr>
    </w:tbl>
    <w:p>
      <w:pPr>
        <w:spacing w:after="80"/>
      </w:pPr>
      <w:r>
        <w:rPr>
          <w:rFonts w:ascii="Calibri" w:hAnsi="Calibri"/>
          <w:b w:val="0"/>
          <w:i w:val="0"/>
          <w:sz w:val="20"/>
        </w:rPr>
        <w:t>Macro lens. Two hot prints in three sessions reset the rate path: April CPI re-accelerated to +3.8% y/y (energy +3.8% m/m, gasoline +28.4% y/y), and today's PPI printed +1.4% m/m — the largest monthly advance since March 2022. CME-implied probability of zero 2026 rate cuts now sits near 62%; rate-hike odds by year-end have risen to roughly 39%. Kevin Warsh was confirmed Fed Chair Wednesday 54-45, the closest modern-era vote; his first FOMC is June 16–17. Despite the macro setup, the tape made fresh record highs Wednesday and is bid again pre-open on a US–China thaw narrative — Trump arrived in Beijing with Huang, Musk, and Cook; Commerce reportedly approved ~10 Chinese firms to purchase NVDA H200 chips. Net read: hawkish-data / risk-on-tape divergence remains wide; portfolio remains in reactive posture with cash at the 15.0% floor.</w:t>
      </w:r>
    </w:p>
    <w:p>
      <w:pPr>
        <w:spacing w:before="160" w:after="80"/>
      </w:pPr>
      <w:r>
        <w:rPr>
          <w:rFonts w:ascii="Calibri" w:hAnsi="Calibri"/>
          <w:b/>
          <w:color w:val="365F91"/>
          <w:sz w:val="28"/>
        </w:rPr>
        <w:t>2. Scan 1 — Holdings Review (Affected Names)</w:t>
      </w:r>
    </w:p>
    <w:tbl>
      <w:tblPr>
        <w:tblW w:type="auto" w:w="0"/>
        <w:jc w:val="left"/>
        <w:tblLook w:firstColumn="1" w:firstRow="1" w:lastColumn="0" w:lastRow="0" w:noHBand="0" w:noVBand="1" w:val="04A0"/>
      </w:tblPr>
      <w:tblGrid>
        <w:gridCol w:w="2484"/>
        <w:gridCol w:w="2484"/>
        <w:gridCol w:w="2484"/>
        <w:gridCol w:w="2484"/>
      </w:tblGrid>
      <w:tr>
        <w:tc>
          <w:tcPr>
            <w:tcW w:type="dxa" w:w="1872"/>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Wt</w:t>
            </w:r>
          </w:p>
        </w:tc>
        <w:tc>
          <w:tcPr>
            <w:tcW w:type="dxa" w:w="50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Catalyst / Read-Through</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Action</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6.5%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Huang confirmed in Trump Beijing delegation; Commerce approved ~10 Chinese firms (BABA, Tencent, ByteDance, JD) for H200. Stock +3% overnight to $233.22 intraday high; BofA flags first $5.5T mkt-cap print. Q1 FY27 print May 20 AMC (cons rev $78.98B, +79%; adj EPS $1.78).</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6.5% — at cap; no add room</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Up ≈4.2% pre-open on $3.6B dollar-volume semiconductor lead, riding NVDA / ARM supply-cap / CSCO AI-infra signal.</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2.5% — cash floor blocks add</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AVGO / MSFT / ORCL / PANW</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4.0 / 4.0 / 3.0 / 4.0%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Cisco Q3 (May 13 AMC) +17% AH on raised AI guidance ($9B FY26 hyperscaler orders, was $5B; FY26 AI rev $4B, was $3B). Positive read-through to held AI-infrastructure complex.</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all — thesis intact</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TSM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Pre-mkt tech bid; foundry read-through from US-China tech-thaw narrative and H200 export-approval news.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XOM / EOG</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 / 2.5%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WTI ≈$102; PPI energy +7.8% m/m / gasoline +15.6% m/m supportive. &lt;$90 sustained-close trim trigger &gt;$10 away.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at rebuilt weights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May 12 close $396.39 (+3.11%); +47% off March lows. DOJ Medicare-billing probe overhang persists. Tracker carry $510 vs market $396 reconciliation FLAG carried over a fifth session.</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 — FLAG persists</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META</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No new catalyst. FTC monopolization case dismissed Nov 18, 2025 (Judge Boasberg); FTC appeal filed Jan 2026, no decision pending today.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4.5%</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LLY</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No new catalyst. Position rebuilt to 4.5% post Apr 21 add; thesis intact.</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4.5%</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PLTR</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Julian Lin / Seeking Alpha bull call (May 12) — accelerating AI-driven growth + margin. Q1 beat-and-raise digested.</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3.0%</w:t>
            </w:r>
          </w:p>
        </w:tc>
      </w:tr>
      <w:tr>
        <w:tc>
          <w:tcPr>
            <w:tcW w:type="dxa" w:w="1872"/>
            <w:tcBorders>
              <w:top w:val="single" w:sz="4" w:color="BFBFBF"/>
              <w:left w:val="single" w:sz="4" w:color="BFBFBF"/>
              <w:bottom w:val="single" w:sz="4" w:color="BFBFBF"/>
              <w:right w:val="single" w:sz="4" w:color="BFBFBF"/>
            </w:tcBorders>
            <w:vAlign w:val="top"/>
          </w:tcPr>
          <w:p>
            <w:r>
              <w:rPr>
                <w:rFonts w:ascii="Calibri" w:hAnsi="Calibri"/>
                <w:sz w:val="18"/>
              </w:rPr>
              <w:t>JPM / V</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4.5 / 3.0%</w:t>
            </w:r>
          </w:p>
        </w:tc>
        <w:tc>
          <w:tcPr>
            <w:tcW w:type="dxa" w:w="5040"/>
            <w:tcBorders>
              <w:top w:val="single" w:sz="4" w:color="BFBFBF"/>
              <w:left w:val="single" w:sz="4" w:color="BFBFBF"/>
              <w:bottom w:val="single" w:sz="4" w:color="BFBFBF"/>
              <w:right w:val="single" w:sz="4" w:color="BFBFBF"/>
            </w:tcBorders>
            <w:vAlign w:val="top"/>
          </w:tcPr>
          <w:p>
            <w:r>
              <w:rPr>
                <w:rFonts w:ascii="Calibri" w:hAnsi="Calibri"/>
                <w:sz w:val="18"/>
              </w:rPr>
              <w:t>Bank tape steady; hot CPI/PPI raises rate-path uncertainty for credit cycle; no thesis change.</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HOLD both</w:t>
            </w:r>
          </w:p>
        </w:tc>
      </w:tr>
    </w:tbl>
    <w:p>
      <w:pPr>
        <w:spacing w:before="160" w:after="80"/>
      </w:pPr>
      <w:r>
        <w:rPr>
          <w:rFonts w:ascii="Calibri" w:hAnsi="Calibri"/>
          <w:b/>
          <w:color w:val="365F91"/>
          <w:sz w:val="28"/>
        </w:rPr>
        <w:t>3. Scan 2 — New Opportunities &amp; Watchlist</w:t>
      </w:r>
    </w:p>
    <w:tbl>
      <w:tblPr>
        <w:tblW w:type="auto" w:w="0"/>
        <w:jc w:val="left"/>
        <w:tblLook w:firstColumn="1" w:firstRow="1" w:lastColumn="0" w:lastRow="0" w:noHBand="0" w:noVBand="1" w:val="04A0"/>
      </w:tblPr>
      <w:tblGrid>
        <w:gridCol w:w="1656"/>
        <w:gridCol w:w="1656"/>
        <w:gridCol w:w="1656"/>
        <w:gridCol w:w="1656"/>
        <w:gridCol w:w="1656"/>
        <w:gridCol w:w="1656"/>
      </w:tblGrid>
      <w:tr>
        <w:tc>
          <w:tcPr>
            <w:tcW w:type="dxa" w:w="100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86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Conf</w:t>
            </w:r>
          </w:p>
        </w:tc>
        <w:tc>
          <w:tcPr>
            <w:tcW w:type="dxa" w:w="158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Size</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Entry Trigger</w:t>
            </w:r>
          </w:p>
        </w:tc>
        <w:tc>
          <w:tcPr>
            <w:tcW w:type="dxa" w:w="288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Price Stop / Thesis Stop</w:t>
            </w:r>
          </w:p>
        </w:tc>
        <w:tc>
          <w:tcPr>
            <w:tcW w:type="dxa" w:w="244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Pre-mortem</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ARM</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LOW</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1.0%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Sustained close &lt;$130 with supply-capacity guidance update</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$118 / Thesis: AI-edge royalty growth &lt;30%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AGI-CPU supply gap proves transient AND the multiple does not compress</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SPOT</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MED</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1.5% from cash</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&lt;$650 sustained close (currently $446.55 — historical trigger long met; cash floor blocks)</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Px stop $610 (-6%) / Thesis: ad-rev growth &lt;8% y/y for 2 qtrs</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Wrong if podcast/ad flywheel decouples from Premium FCF</w:t>
            </w:r>
          </w:p>
        </w:tc>
      </w:tr>
      <w:tr>
        <w:tc>
          <w:tcPr>
            <w:tcW w:type="dxa" w:w="1008"/>
            <w:tcBorders>
              <w:top w:val="single" w:sz="4" w:color="BFBFBF"/>
              <w:left w:val="single" w:sz="4" w:color="BFBFBF"/>
              <w:bottom w:val="single" w:sz="4" w:color="BFBFBF"/>
              <w:right w:val="single" w:sz="4" w:color="BFBFBF"/>
            </w:tcBorders>
            <w:vAlign w:val="top"/>
          </w:tcPr>
          <w:p>
            <w:r>
              <w:rPr>
                <w:rFonts w:ascii="Calibri" w:hAnsi="Calibri"/>
                <w:sz w:val="18"/>
              </w:rPr>
              <w:t>CSCO</w:t>
            </w:r>
          </w:p>
        </w:tc>
        <w:tc>
          <w:tcPr>
            <w:tcW w:type="dxa" w:w="864"/>
            <w:tcBorders>
              <w:top w:val="single" w:sz="4" w:color="BFBFBF"/>
              <w:left w:val="single" w:sz="4" w:color="BFBFBF"/>
              <w:bottom w:val="single" w:sz="4" w:color="BFBFBF"/>
              <w:right w:val="single" w:sz="4" w:color="BFBFBF"/>
            </w:tcBorders>
            <w:vAlign w:val="top"/>
          </w:tcPr>
          <w:p>
            <w:r>
              <w:rPr>
                <w:rFonts w:ascii="Calibri" w:hAnsi="Calibri"/>
                <w:sz w:val="18"/>
              </w:rPr>
              <w:t>LOW</w:t>
            </w:r>
          </w:p>
        </w:tc>
        <w:tc>
          <w:tcPr>
            <w:tcW w:type="dxa" w:w="1584"/>
            <w:tcBorders>
              <w:top w:val="single" w:sz="4" w:color="BFBFBF"/>
              <w:left w:val="single" w:sz="4" w:color="BFBFBF"/>
              <w:bottom w:val="single" w:sz="4" w:color="BFBFBF"/>
              <w:right w:val="single" w:sz="4" w:color="BFBFBF"/>
            </w:tcBorders>
            <w:vAlign w:val="top"/>
          </w:tcPr>
          <w:p>
            <w:r>
              <w:rPr>
                <w:rFonts w:ascii="Calibri" w:hAnsi="Calibri"/>
                <w:sz w:val="18"/>
              </w:rPr>
              <w:t>Watch only — not adding</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Already +17% AH May 13 on raised AI guide; no pullback yet</w:t>
            </w:r>
          </w:p>
        </w:tc>
        <w:tc>
          <w:tcPr>
            <w:tcW w:type="dxa" w:w="2880"/>
            <w:tcBorders>
              <w:top w:val="single" w:sz="4" w:color="BFBFBF"/>
              <w:left w:val="single" w:sz="4" w:color="BFBFBF"/>
              <w:bottom w:val="single" w:sz="4" w:color="BFBFBF"/>
              <w:right w:val="single" w:sz="4" w:color="BFBFBF"/>
            </w:tcBorders>
            <w:vAlign w:val="top"/>
          </w:tcPr>
          <w:p>
            <w:r>
              <w:rPr>
                <w:rFonts w:ascii="Calibri" w:hAnsi="Calibri"/>
                <w:sz w:val="18"/>
              </w:rPr>
              <w:t>n/a — no entry today</w:t>
            </w:r>
          </w:p>
        </w:tc>
        <w:tc>
          <w:tcPr>
            <w:tcW w:type="dxa" w:w="2448"/>
            <w:tcBorders>
              <w:top w:val="single" w:sz="4" w:color="BFBFBF"/>
              <w:left w:val="single" w:sz="4" w:color="BFBFBF"/>
              <w:bottom w:val="single" w:sz="4" w:color="BFBFBF"/>
              <w:right w:val="single" w:sz="4" w:color="BFBFBF"/>
            </w:tcBorders>
            <w:vAlign w:val="top"/>
          </w:tcPr>
          <w:p>
            <w:r>
              <w:rPr>
                <w:rFonts w:ascii="Calibri" w:hAnsi="Calibri"/>
                <w:sz w:val="18"/>
              </w:rPr>
              <w:t>Networking / AI-infra read-through already harvested via PANW, AVGO, ORCL</w:t>
            </w:r>
          </w:p>
        </w:tc>
      </w:tr>
    </w:tbl>
    <w:p>
      <w:pPr>
        <w:spacing w:after="80"/>
      </w:pPr>
      <w:r>
        <w:rPr>
          <w:rFonts w:ascii="Calibri" w:hAnsi="Calibri"/>
          <w:b w:val="0"/>
          <w:i w:val="0"/>
          <w:sz w:val="20"/>
        </w:rPr>
        <w:t>No watchlist entries today. ARM trigger not met. SPOT trigger met on price but blocked by 15.0% cash floor. CSCO read-through is already in the book via held AI-infrastructure names.</w:t>
      </w:r>
    </w:p>
    <w:p>
      <w:pPr>
        <w:spacing w:before="160" w:after="80"/>
      </w:pPr>
      <w:r>
        <w:rPr>
          <w:rFonts w:ascii="Calibri" w:hAnsi="Calibri"/>
          <w:b/>
          <w:color w:val="365F91"/>
          <w:sz w:val="28"/>
        </w:rPr>
        <w:t>4. Cash Recommendation</w:t>
      </w:r>
    </w:p>
    <w:tbl>
      <w:tblPr>
        <w:tblW w:type="auto" w:w="0"/>
        <w:jc w:val="left"/>
        <w:tblLook w:firstColumn="1" w:firstRow="1" w:lastColumn="0" w:lastRow="0" w:noHBand="0" w:noVBand="1" w:val="04A0"/>
      </w:tblPr>
      <w:tblGrid>
        <w:gridCol w:w="3312"/>
        <w:gridCol w:w="3312"/>
        <w:gridCol w:w="3312"/>
      </w:tblGrid>
      <w:tr>
        <w:tc>
          <w:tcPr>
            <w:tcW w:type="dxa" w:w="432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Item</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Value</w:t>
            </w:r>
          </w:p>
        </w:tc>
        <w:tc>
          <w:tcPr>
            <w:tcW w:type="dxa" w:w="3744"/>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Status</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Current cash weight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15.0%</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At self-imposed floor (band 10–20%)</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Deploy trigger (NFP &lt;30k AND mkt -1.5%)</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NFP +115k printed May 8 — invalidated</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VOID</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Deploy trigger (NVDA Q1 fiscal 2027 miss)</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May 20 AMC</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PENDING</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Trim trigger (WTI sustained close &lt;$90)</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WTI ≈$102 — gap &gt;$10</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r>
        <w:tc>
          <w:tcPr>
            <w:tcW w:type="dxa" w:w="4320"/>
            <w:tcBorders>
              <w:top w:val="single" w:sz="4" w:color="BFBFBF"/>
              <w:left w:val="single" w:sz="4" w:color="BFBFBF"/>
              <w:bottom w:val="single" w:sz="4" w:color="BFBFBF"/>
              <w:right w:val="single" w:sz="4" w:color="BFBFBF"/>
            </w:tcBorders>
            <w:vAlign w:val="top"/>
          </w:tcPr>
          <w:p>
            <w:r>
              <w:rPr>
                <w:rFonts w:ascii="Calibri" w:hAnsi="Calibri"/>
                <w:sz w:val="18"/>
              </w:rPr>
              <w:t>Drawdown trigger (WTD ≤ −3%)</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Tape at record highs Wed; pre-open green</w:t>
            </w:r>
          </w:p>
        </w:tc>
        <w:tc>
          <w:tcPr>
            <w:tcW w:type="dxa" w:w="3744"/>
            <w:tcBorders>
              <w:top w:val="single" w:sz="4" w:color="BFBFBF"/>
              <w:left w:val="single" w:sz="4" w:color="BFBFBF"/>
              <w:bottom w:val="single" w:sz="4" w:color="BFBFBF"/>
              <w:right w:val="single" w:sz="4" w:color="BFBFBF"/>
            </w:tcBorders>
            <w:vAlign w:val="top"/>
          </w:tcPr>
          <w:p>
            <w:r>
              <w:rPr>
                <w:rFonts w:ascii="Calibri" w:hAnsi="Calibri"/>
                <w:sz w:val="18"/>
              </w:rPr>
              <w:t>NOT MET</w:t>
            </w:r>
          </w:p>
        </w:tc>
      </w:tr>
    </w:tbl>
    <w:p>
      <w:pPr>
        <w:spacing w:after="80"/>
      </w:pPr>
      <w:r>
        <w:rPr>
          <w:rFonts w:ascii="Calibri" w:hAnsi="Calibri"/>
          <w:b w:val="0"/>
          <w:i w:val="0"/>
          <w:sz w:val="20"/>
        </w:rPr>
        <w:t>Rationale. Hot CPI + PPI tightens rate-path optionality and raises the cost of carrying low-conviction adds. Tape-record-highs and a constructive US–China narrative argue against trimming. Net: hold at 15.0% floor; reactive posture preserved for NVDA Q1 print (May 20) and the June 16-17 FOMC under Warsh.</w:t>
      </w:r>
    </w:p>
    <w:p>
      <w:pPr>
        <w:spacing w:before="160" w:after="80"/>
      </w:pPr>
      <w:r>
        <w:rPr>
          <w:rFonts w:ascii="Calibri" w:hAnsi="Calibri"/>
          <w:b/>
          <w:color w:val="365F91"/>
          <w:sz w:val="28"/>
        </w:rPr>
        <w:t>5. Pending Catalysts — Status Update</w:t>
      </w:r>
    </w:p>
    <w:tbl>
      <w:tblPr>
        <w:tblW w:type="auto" w:w="0"/>
        <w:jc w:val="left"/>
        <w:tblLook w:firstColumn="1" w:firstRow="1" w:lastColumn="0" w:lastRow="0" w:noHBand="0" w:noVBand="1" w:val="04A0"/>
      </w:tblPr>
      <w:tblGrid>
        <w:gridCol w:w="2484"/>
        <w:gridCol w:w="2484"/>
        <w:gridCol w:w="2484"/>
        <w:gridCol w:w="2484"/>
      </w:tblGrid>
      <w:tr>
        <w:tc>
          <w:tcPr>
            <w:tcW w:type="dxa" w:w="201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When</w:t>
            </w:r>
          </w:p>
        </w:tc>
        <w:tc>
          <w:tcPr>
            <w:tcW w:type="dxa" w:w="388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Event</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Held Read-Through</w:t>
            </w:r>
          </w:p>
        </w:tc>
        <w:tc>
          <w:tcPr>
            <w:tcW w:type="dxa" w:w="216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Pre-Plan</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Wed May 20 AMC</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NVDA Q1 fiscal 2027 (cons rev $78.98B / EPS $1.78)</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NVDA 6.5%, AVGO 4.0%, MU 2.5%, TSM 3.0%, ORCL 3.0%</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On miss: no trim (thesis-stop not hit); on beat-and-raise: no add (at cap, cash floor)</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Jun 16-17</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First FOMC under Warsh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Rate-path duration sensitivity across growth book</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No pre-positioning; reactive only</w:t>
            </w:r>
          </w:p>
        </w:tc>
      </w:tr>
      <w:tr>
        <w:tc>
          <w:tcPr>
            <w:tcW w:type="dxa" w:w="2016"/>
            <w:tcBorders>
              <w:top w:val="single" w:sz="4" w:color="BFBFBF"/>
              <w:left w:val="single" w:sz="4" w:color="BFBFBF"/>
              <w:bottom w:val="single" w:sz="4" w:color="BFBFBF"/>
              <w:right w:val="single" w:sz="4" w:color="BFBFBF"/>
            </w:tcBorders>
            <w:vAlign w:val="top"/>
          </w:tcPr>
          <w:p>
            <w:r>
              <w:rPr>
                <w:rFonts w:ascii="Calibri" w:hAnsi="Calibri"/>
                <w:sz w:val="18"/>
              </w:rPr>
              <w:t>Quarterly</w:t>
            </w:r>
          </w:p>
        </w:tc>
        <w:tc>
          <w:tcPr>
            <w:tcW w:type="dxa" w:w="3888"/>
            <w:tcBorders>
              <w:top w:val="single" w:sz="4" w:color="BFBFBF"/>
              <w:left w:val="single" w:sz="4" w:color="BFBFBF"/>
              <w:bottom w:val="single" w:sz="4" w:color="BFBFBF"/>
              <w:right w:val="single" w:sz="4" w:color="BFBFBF"/>
            </w:tcBorders>
            <w:vAlign w:val="top"/>
          </w:tcPr>
          <w:p>
            <w:r>
              <w:rPr>
                <w:rFonts w:ascii="Calibri" w:hAnsi="Calibri"/>
                <w:sz w:val="18"/>
              </w:rPr>
              <w:t>Q2 cycle (LLY, COST, JPM, V continued reads)</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 + financials review</w:t>
            </w:r>
          </w:p>
        </w:tc>
        <w:tc>
          <w:tcPr>
            <w:tcW w:type="dxa" w:w="2160"/>
            <w:tcBorders>
              <w:top w:val="single" w:sz="4" w:color="BFBFBF"/>
              <w:left w:val="single" w:sz="4" w:color="BFBFBF"/>
              <w:bottom w:val="single" w:sz="4" w:color="BFBFBF"/>
              <w:right w:val="single" w:sz="4" w:color="BFBFBF"/>
            </w:tcBorders>
            <w:vAlign w:val="top"/>
          </w:tcPr>
          <w:p>
            <w:r>
              <w:rPr>
                <w:rFonts w:ascii="Calibri" w:hAnsi="Calibri"/>
                <w:sz w:val="18"/>
              </w:rPr>
              <w:t>Monitor; no pre-trade</w:t>
            </w:r>
          </w:p>
        </w:tc>
      </w:tr>
    </w:tbl>
    <w:p>
      <w:pPr>
        <w:spacing w:before="160" w:after="80"/>
      </w:pPr>
      <w:r>
        <w:rPr>
          <w:rFonts w:ascii="Calibri" w:hAnsi="Calibri"/>
          <w:b/>
          <w:color w:val="365F91"/>
          <w:sz w:val="28"/>
        </w:rPr>
        <w:t>6. Recommended Weight Changes (Today)</w:t>
      </w:r>
    </w:p>
    <w:p>
      <w:r>
        <w:rPr>
          <w:rFonts w:ascii="Calibri" w:hAnsi="Calibri"/>
          <w:b/>
          <w:sz w:val="20"/>
        </w:rPr>
        <w:t xml:space="preserve">No weight changes recommended today. </w:t>
      </w:r>
      <w:r>
        <w:rPr>
          <w:rFonts w:ascii="Calibri" w:hAnsi="Calibri"/>
          <w:sz w:val="20"/>
        </w:rPr>
        <w:t>All IPS hard limits within band (single ≤7.0%, sector ≤35.0%, cash 10–20%). Cash at 15.0% floor blocks any opportunistic add; no held position has hit a trim or thesis-stop trigger. Posture stays reactive into NVDA print (May 20) and the Warsh-led June FOMC.</w:t>
      </w:r>
    </w:p>
    <w:p>
      <w:pPr>
        <w:spacing w:before="160" w:after="80"/>
      </w:pPr>
      <w:r>
        <w:rPr>
          <w:rFonts w:ascii="Calibri" w:hAnsi="Calibri"/>
          <w:b/>
          <w:color w:val="365F91"/>
          <w:sz w:val="28"/>
        </w:rPr>
        <w:t>7. Full Portfolio Table — 27 Positions + Cash</w:t>
      </w:r>
    </w:p>
    <w:tbl>
      <w:tblPr>
        <w:tblW w:type="auto" w:w="0"/>
        <w:jc w:val="left"/>
        <w:tblLook w:firstColumn="1" w:firstRow="1" w:lastColumn="0" w:lastRow="0" w:noHBand="0" w:noVBand="1" w:val="04A0"/>
      </w:tblPr>
      <w:tblGrid>
        <w:gridCol w:w="3312"/>
        <w:gridCol w:w="3312"/>
        <w:gridCol w:w="3312"/>
      </w:tblGrid>
      <w:tr>
        <w:tc>
          <w:tcPr>
            <w:tcW w:type="dxa" w:w="1728"/>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Ticker</w:t>
            </w:r>
          </w:p>
        </w:tc>
        <w:tc>
          <w:tcPr>
            <w:tcW w:type="dxa" w:w="3456"/>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Sector</w:t>
            </w:r>
          </w:p>
        </w:tc>
        <w:tc>
          <w:tcPr>
            <w:tcW w:type="dxa" w:w="1440"/>
            <w:shd w:fill="1F4E79" w:val="clear"/>
            <w:tcBorders>
              <w:top w:val="single" w:sz="4" w:color="BFBFBF"/>
              <w:left w:val="single" w:sz="4" w:color="BFBFBF"/>
              <w:bottom w:val="single" w:sz="4" w:color="BFBFBF"/>
              <w:right w:val="single" w:sz="4" w:color="BFBFBF"/>
            </w:tcBorders>
            <w:vAlign w:val="center"/>
          </w:tcPr>
          <w:p>
            <w:pPr>
              <w:jc w:val="left"/>
            </w:pPr>
            <w:r>
              <w:rPr>
                <w:rFonts w:ascii="Calibri" w:hAnsi="Calibri"/>
                <w:b/>
                <w:color w:val="FFFFFF"/>
                <w:sz w:val="20"/>
              </w:rPr>
              <w:t>Weight</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NVDA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6.5%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AMZN</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5.5%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META</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LLY</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JPM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AVGO</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MSFT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PANW</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4.0%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QQQ</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ORCL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GOOGL</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PLTR</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UNH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XOM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Financials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TSM</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3.0%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MU</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EOG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Energy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COST</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Staples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VUG</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SCHD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ETF</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DASH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Cons. Disc.</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NEE</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Utilities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2.0%</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ABBV</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Healthcare</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NFLX</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Comm. Services</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CRWD</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INTC</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Technology</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w:t>
            </w:r>
          </w:p>
        </w:tc>
      </w:tr>
      <w:tr>
        <w:tc>
          <w:tcPr>
            <w:tcW w:type="dxa" w:w="1728"/>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3456"/>
            <w:tcBorders>
              <w:top w:val="single" w:sz="4" w:color="BFBFBF"/>
              <w:left w:val="single" w:sz="4" w:color="BFBFBF"/>
              <w:bottom w:val="single" w:sz="4" w:color="BFBFBF"/>
              <w:right w:val="single" w:sz="4" w:color="BFBFBF"/>
            </w:tcBorders>
            <w:vAlign w:val="top"/>
          </w:tcPr>
          <w:p>
            <w:r>
              <w:rPr>
                <w:rFonts w:ascii="Calibri" w:hAnsi="Calibri"/>
                <w:sz w:val="18"/>
              </w:rPr>
              <w:t>Cash</w:t>
            </w:r>
          </w:p>
        </w:tc>
        <w:tc>
          <w:tcPr>
            <w:tcW w:type="dxa" w:w="1440"/>
            <w:tcBorders>
              <w:top w:val="single" w:sz="4" w:color="BFBFBF"/>
              <w:left w:val="single" w:sz="4" w:color="BFBFBF"/>
              <w:bottom w:val="single" w:sz="4" w:color="BFBFBF"/>
              <w:right w:val="single" w:sz="4" w:color="BFBFBF"/>
            </w:tcBorders>
            <w:vAlign w:val="top"/>
          </w:tcPr>
          <w:p>
            <w:r>
              <w:rPr>
                <w:rFonts w:ascii="Calibri" w:hAnsi="Calibri"/>
                <w:sz w:val="18"/>
              </w:rPr>
              <w:t>15.0%</w:t>
            </w:r>
          </w:p>
        </w:tc>
      </w:tr>
    </w:tbl>
    <w:p>
      <w:pPr>
        <w:jc w:val="left"/>
      </w:pPr>
      <w:r>
        <w:rPr>
          <w:rFonts w:ascii="Calibri" w:hAnsi="Calibri"/>
          <w:b/>
          <w:color w:val="0B6E3D"/>
          <w:sz w:val="20"/>
        </w:rPr>
        <w:t>Portfolio sum verified: 100.0% = 100.0% ✓</w:t>
      </w:r>
    </w:p>
    <w:p>
      <w:pPr>
        <w:spacing w:before="160" w:after="80"/>
      </w:pPr>
      <w:r>
        <w:rPr>
          <w:rFonts w:ascii="Calibri" w:hAnsi="Calibri"/>
          <w:b/>
          <w:color w:val="365F91"/>
          <w:sz w:val="28"/>
        </w:rPr>
        <w:t>8. Sources &amp; Methodology</w:t>
      </w:r>
    </w:p>
    <w:p>
      <w:pPr>
        <w:pStyle w:val="ListBullet"/>
        <w:spacing w:after="40"/>
      </w:pPr>
      <w:r>
        <w:rPr>
          <w:rFonts w:ascii="Calibri" w:hAnsi="Calibri"/>
          <w:b/>
          <w:sz w:val="18"/>
        </w:rPr>
        <w:t xml:space="preserve">Pre-market futures: </w:t>
      </w:r>
      <w:r>
        <w:rPr>
          <w:rFonts w:ascii="Calibri" w:hAnsi="Calibri"/>
          <w:sz w:val="18"/>
        </w:rPr>
        <w:t>CNBC, Stocktwits, Investing.com, Bloomberg, TradingView — May 14, 2026.</w:t>
      </w:r>
    </w:p>
    <w:p>
      <w:pPr>
        <w:pStyle w:val="ListBullet"/>
        <w:spacing w:after="40"/>
      </w:pPr>
      <w:r>
        <w:rPr>
          <w:rFonts w:ascii="Calibri" w:hAnsi="Calibri"/>
          <w:b/>
          <w:sz w:val="18"/>
        </w:rPr>
        <w:t xml:space="preserve">April CPI: </w:t>
      </w:r>
      <w:r>
        <w:rPr>
          <w:rFonts w:ascii="Calibri" w:hAnsi="Calibri"/>
          <w:sz w:val="18"/>
        </w:rPr>
        <w:t>BLS release May 12, 2026; CNBC, Bloomberg, Kiplinger coverage.</w:t>
      </w:r>
    </w:p>
    <w:p>
      <w:pPr>
        <w:pStyle w:val="ListBullet"/>
        <w:spacing w:after="40"/>
      </w:pPr>
      <w:r>
        <w:rPr>
          <w:rFonts w:ascii="Calibri" w:hAnsi="Calibri"/>
          <w:b/>
          <w:sz w:val="18"/>
        </w:rPr>
        <w:t xml:space="preserve">April PPI: </w:t>
      </w:r>
      <w:r>
        <w:rPr>
          <w:rFonts w:ascii="Calibri" w:hAnsi="Calibri"/>
          <w:sz w:val="18"/>
        </w:rPr>
        <w:t>BLS release May 14, 2026 — +1.4% m/m, +6.0% y/y; final-demand energy +7.8%.</w:t>
      </w:r>
    </w:p>
    <w:p>
      <w:pPr>
        <w:pStyle w:val="ListBullet"/>
        <w:spacing w:after="40"/>
      </w:pPr>
      <w:r>
        <w:rPr>
          <w:rFonts w:ascii="Calibri" w:hAnsi="Calibri"/>
          <w:b/>
          <w:sz w:val="18"/>
        </w:rPr>
        <w:t xml:space="preserve">Warsh confirmation: </w:t>
      </w:r>
      <w:r>
        <w:rPr>
          <w:rFonts w:ascii="Calibri" w:hAnsi="Calibri"/>
          <w:sz w:val="18"/>
        </w:rPr>
        <w:t>CNBC, NPR, Washington Post, CNN — May 13, 2026 vote 54-45.</w:t>
      </w:r>
    </w:p>
    <w:p>
      <w:pPr>
        <w:pStyle w:val="ListBullet"/>
        <w:spacing w:after="40"/>
      </w:pPr>
      <w:r>
        <w:rPr>
          <w:rFonts w:ascii="Calibri" w:hAnsi="Calibri"/>
          <w:b/>
          <w:sz w:val="18"/>
        </w:rPr>
        <w:t xml:space="preserve">NVDA / Trump-Xi: </w:t>
      </w:r>
      <w:r>
        <w:rPr>
          <w:rFonts w:ascii="Calibri" w:hAnsi="Calibri"/>
          <w:sz w:val="18"/>
        </w:rPr>
        <w:t>Reuters via TradingKey; Yahoo Finance; Stocktwits — H200 China-export approval, May 14.</w:t>
      </w:r>
    </w:p>
    <w:p>
      <w:pPr>
        <w:pStyle w:val="ListBullet"/>
        <w:spacing w:after="40"/>
      </w:pPr>
      <w:r>
        <w:rPr>
          <w:rFonts w:ascii="Calibri" w:hAnsi="Calibri"/>
          <w:b/>
          <w:sz w:val="18"/>
        </w:rPr>
        <w:t xml:space="preserve">Cisco Q3: </w:t>
      </w:r>
      <w:r>
        <w:rPr>
          <w:rFonts w:ascii="Calibri" w:hAnsi="Calibri"/>
          <w:sz w:val="18"/>
        </w:rPr>
        <w:t>CNBC, Bloomberg, Seeking Alpha, Stocktitan — May 13 AMC.</w:t>
      </w:r>
    </w:p>
    <w:p>
      <w:pPr>
        <w:pStyle w:val="ListBullet"/>
        <w:spacing w:after="40"/>
      </w:pPr>
      <w:r>
        <w:rPr>
          <w:rFonts w:ascii="Calibri" w:hAnsi="Calibri"/>
          <w:b/>
          <w:sz w:val="18"/>
        </w:rPr>
        <w:t xml:space="preserve">UNH: </w:t>
      </w:r>
      <w:r>
        <w:rPr>
          <w:rFonts w:ascii="Calibri" w:hAnsi="Calibri"/>
          <w:sz w:val="18"/>
        </w:rPr>
        <w:t>Yahoo Finance, Phemex, Quiver — May 12 close $396.39.</w:t>
      </w:r>
    </w:p>
    <w:p>
      <w:pPr>
        <w:pStyle w:val="ListBullet"/>
        <w:spacing w:after="40"/>
      </w:pPr>
      <w:r>
        <w:rPr>
          <w:rFonts w:ascii="Calibri" w:hAnsi="Calibri"/>
          <w:b/>
          <w:sz w:val="18"/>
        </w:rPr>
        <w:t xml:space="preserve">PLTR upgrade: </w:t>
      </w:r>
      <w:r>
        <w:rPr>
          <w:rFonts w:ascii="Calibri" w:hAnsi="Calibri"/>
          <w:sz w:val="18"/>
        </w:rPr>
        <w:t>Seeking Alpha (Julian Lin), May 12.</w:t>
      </w:r>
    </w:p>
    <w:p>
      <w:pPr>
        <w:pStyle w:val="ListBullet"/>
        <w:spacing w:after="40"/>
      </w:pPr>
      <w:r>
        <w:rPr>
          <w:rFonts w:ascii="Calibri" w:hAnsi="Calibri"/>
          <w:b/>
          <w:sz w:val="18"/>
        </w:rPr>
        <w:t xml:space="preserve">Oil: </w:t>
      </w:r>
      <w:r>
        <w:rPr>
          <w:rFonts w:ascii="Calibri" w:hAnsi="Calibri"/>
          <w:sz w:val="18"/>
        </w:rPr>
        <w:t>CNBC, FXLeaders, Foreign Policy Journal — May 12-14 prints.</w:t>
      </w:r>
    </w:p>
    <w:p>
      <w:pPr>
        <w:pStyle w:val="ListBullet"/>
        <w:spacing w:after="40"/>
      </w:pPr>
      <w:r>
        <w:rPr>
          <w:rFonts w:ascii="Calibri" w:hAnsi="Calibri"/>
          <w:b/>
          <w:sz w:val="18"/>
        </w:rPr>
        <w:t xml:space="preserve">Tracker (ground truth): </w:t>
      </w:r>
      <w:r>
        <w:rPr>
          <w:rFonts w:ascii="Calibri" w:hAnsi="Calibri"/>
          <w:sz w:val="18"/>
        </w:rPr>
        <w:t>WM_Growth_Portfolio_Apr2026.xlsx — Portfolio Overview sheet (CONFIRMED).</w:t>
      </w:r>
    </w:p>
    <w:p>
      <w:pPr>
        <w:pStyle w:val="ListBullet"/>
        <w:spacing w:after="40"/>
      </w:pPr>
      <w:r>
        <w:rPr>
          <w:rFonts w:ascii="Calibri" w:hAnsi="Calibri"/>
          <w:b/>
          <w:sz w:val="18"/>
        </w:rPr>
        <w:t xml:space="preserve">Provenance: </w:t>
      </w:r>
      <w:r>
        <w:rPr>
          <w:rFonts w:ascii="Calibri" w:hAnsi="Calibri"/>
          <w:sz w:val="18"/>
        </w:rPr>
        <w:t>All market data tagged SOURCED. Weights / sector tags CONFIRMED from tracker. No CALIBRATED figures used today.</w:t>
      </w:r>
    </w:p>
    <w:p>
      <w:pPr>
        <w:spacing w:before="120"/>
      </w:pPr>
      <w:r>
        <w:rPr>
          <w:rFonts w:ascii="Calibri" w:hAnsi="Calibri"/>
          <w:i/>
          <w:color w:val="777777"/>
          <w:sz w:val="16"/>
        </w:rPr>
        <w:t>Disclaimer: This report is prepared for the WM Growth Portfolio under IPS v1.0 (effective Apr 21, 2026). Estimates and analyst targets are not investment advice. Past performance is not indicative of future results. All recommendations are constrained by the IPS (max single 7.0%, max sector 35.0%, cash 10–20%, no leverage / options / shorts).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