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DAILY PRE-MARKET PORTFOLIO REPORT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Long-Term Growth Portfolio  |  Active Wealth Management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Report Date: Monday, July 6, 2026  |  Benchmark: S&amp;P 500  |  Horizon: Long-Term Growth</w:t>
      </w:r>
    </w:p>
    <w:p>
      <w:pPr>
        <w:pBdr>
          <w:bottom w:val="single" w:color="1F4E79" w:sz="8" w:space="1"/>
        </w:pBdr>
        <w:spacing w:after="60"/>
      </w:pPr>
      <w:r>
        <w:t xml:space="preserve"/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1.  Market Snapshot — Pre-Market / Intraday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100"/>
        <w:gridCol w:w="2100"/>
        <w:gridCol w:w="25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Index / Reference</w:t>
            </w:r>
          </w:p>
        </w:tc>
        <w:tc>
          <w:tcPr>
            <w:tcW w:type="dxa" w:w="21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 / Fut.</w:t>
            </w:r>
          </w:p>
        </w:tc>
        <w:tc>
          <w:tcPr>
            <w:tcW w:type="dxa" w:w="21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S&amp;P 500 fut.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~7,510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+0.4%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Risk-on week open</w:t>
            </w:r>
          </w:p>
        </w:tc>
      </w:tr>
      <w:tr>
        <w:tc>
          <w:tcPr>
            <w:tcW w:type="dxa" w:w="2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Nasdaq-100 fut.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+1.1%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Chips lead rebound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Dow Jones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~52,900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~flat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set Jul 3</w:t>
            </w:r>
          </w:p>
        </w:tc>
      </w:tr>
      <w:tr>
        <w:tc>
          <w:tcPr>
            <w:tcW w:type="dxa" w:w="2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SMH (semis)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+2.4%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Sharp bounce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WTI Crude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~$68.58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−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OPEC+ supply hike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Macro lens (SOURCED). </w:t>
      </w:r>
      <w:r>
        <w:rPr>
          <w:rFonts w:ascii="Calibri" w:cs="Calibri" w:eastAsia="Calibri" w:hAnsi="Calibri"/>
          <w:sz w:val="20"/>
          <w:szCs w:val="20"/>
        </w:rPr>
        <w:t xml:space="preserve">Markets reopen after the July 3 Independence Day holiday on a risk-on footing: S&amp;P 500 futures +0.4%, Nasdaq-100 futures +1.1%, and the semiconductor ETF SMH up 2.4% pre-open, extending a strong prior week in which the Dow set a record 52,900 on July 3. The AI-semiconductor complex is rebounding sharply from its late-June guide-miss selloff. The backdrop is unchanged: last week’s soft June payrolls (+57k) eased the odds of a July hike, but with PCE at +4.1% year-over-year a September hike remains greater-than-60% priced, so the reactive posture stays warranted. WTI eased to ~$68.58 after OPEC+ approved an August output increase of 188,000 bpd and Strait of Hormuz exports continued to recover.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2.  Scan 1 — Holdings Review (Affected Names)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300"/>
        <w:gridCol w:w="3450"/>
        <w:gridCol w:w="2350"/>
        <w:gridCol w:w="226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4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 / Catalyst (SOURCED)</w:t>
            </w:r>
          </w:p>
        </w:tc>
        <w:tc>
          <w:tcPr>
            <w:tcW w:type="dxa" w:w="23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  <w:tc>
          <w:tcPr>
            <w:tcW w:type="dxa" w:w="22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Semis (MU, INTC, TSM, AVGO)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Chip rebound: MU +9.87%, INTC +11.19%, MRVL +9.63%, NVDA +1.73%. Broadcom CEO: AI bookings &gt;$30B, demand “insatiable.”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Held AI-semi theses confirmed; memory/foundry demand intact.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— rebound</w:t>
            </w:r>
          </w:p>
        </w:tc>
      </w:tr>
      <w:tr>
        <w:tc>
          <w:tcPr>
            <w:tcW w:type="dxa" w:w="13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NVDA</w:t>
            </w:r>
          </w:p>
        </w:tc>
        <w:tc>
          <w:tcPr>
            <w:tcW w:type="dxa" w:w="3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+1.73% in rebound; ~$200, resistance near $198. Flat YTD vs SOX strength; PT ~$304.</w:t>
            </w:r>
          </w:p>
        </w:tc>
        <w:tc>
          <w:tcPr>
            <w:tcW w:type="dxa" w:w="23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Thesis intact; at 6.5% cap — no add room.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MSFT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Rate relief + tech rebound support long-duration growth. Wedbush Outperform PT $625, Goldman Buy; Azure +31%. Entry ≤$380 met Jul 1 at $379.62.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sub-check still supported; capex ~$190B is the risk.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 ADD +1.0% (4.0→5.0%) — see §6</w:t>
            </w:r>
          </w:p>
        </w:tc>
      </w:tr>
      <w:tr>
        <w:tc>
          <w:tcPr>
            <w:tcW w:type="dxa" w:w="13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UNH</w:t>
            </w:r>
          </w:p>
        </w:tc>
        <w:tc>
          <w:tcPr>
            <w:tcW w:type="dxa" w:w="3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Pre-earnings PT raises: Leerink $400→$462 (Optum margins), MS $468, Bernstein reiterate $492. Q2 earnings Jul 16 (~8 sessions).</w:t>
            </w:r>
          </w:p>
        </w:tc>
        <w:tc>
          <w:tcPr>
            <w:tcW w:type="dxa" w:w="23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sub-check condition (a) met, but binary DOJ/Optum + earnings event; carry FLAG (17th).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— add DEFERRED, see §6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SPOT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 5 post-entry; tracking risk-on tape, no new news. Goldman Buy PT $659. Stop $395 intact.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Autonomous entry (Jun 29) performing to plan.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1.5%</w:t>
            </w:r>
          </w:p>
        </w:tc>
      </w:tr>
      <w:tr>
        <w:tc>
          <w:tcPr>
            <w:tcW w:type="dxa" w:w="13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PLTR</w:t>
            </w:r>
          </w:p>
        </w:tc>
        <w:tc>
          <w:tcPr>
            <w:tcW w:type="dxa" w:w="3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Participating in rebound; still ~−35% YTD. No standalone upgrade/beat trigger today.</w:t>
            </w:r>
          </w:p>
        </w:tc>
        <w:tc>
          <w:tcPr>
            <w:tcW w:type="dxa" w:w="23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Weight drifted below 3.0% target (~1.9–2.1% CALIBRATED). No discrete ADD.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3.0% tgt — drift FLAG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Energy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WTI ~$68.58; OPEC+ +188k bpd Aug hike; Hormuz exports recovering.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Sub-$90 trim trigger armed 9th session; supply hike strengthens thesis.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 TRIM — see §6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3.  Scan 2 — New Opportunities &amp; Watchlist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50"/>
        <w:gridCol w:w="1500"/>
        <w:gridCol w:w="1450"/>
        <w:gridCol w:w="1650"/>
        <w:gridCol w:w="1200"/>
        <w:gridCol w:w="2510"/>
      </w:tblGrid>
      <w:tr>
        <w:trPr>
          <w:tblHeader/>
        </w:trPr>
        <w:tc>
          <w:tcPr>
            <w:tcW w:type="dxa" w:w="10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15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14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Conf.</w:t>
            </w:r>
          </w:p>
        </w:tc>
        <w:tc>
          <w:tcPr>
            <w:tcW w:type="dxa" w:w="16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 / Stop</w:t>
            </w:r>
          </w:p>
        </w:tc>
        <w:tc>
          <w:tcPr>
            <w:tcW w:type="dxa" w:w="1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251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 / Pre-mortem</w:t>
            </w:r>
          </w:p>
        </w:tc>
      </w:tr>
      <w:tr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ANET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networking; Strong Buy, PT KeyBanc/BofA $200, Barclays $195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≤$155 / $142 (−8%)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1.5%</w:t>
            </w:r>
          </w:p>
        </w:tc>
        <w:tc>
          <w:tcPr>
            <w:tcW w:type="dxa" w:w="251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~$162–168, rebound tape keeps entry out of reach. Wrong if AI capex slows / customer concentration bites.</w:t>
            </w:r>
          </w:p>
        </w:tc>
      </w:tr>
      <w:tr>
        <w:tc>
          <w:tcPr>
            <w:tcW w:type="dxa" w:w="10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MRVL</w:t>
            </w:r>
          </w:p>
        </w:tc>
        <w:tc>
          <w:tcPr>
            <w:tcW w:type="dxa" w:w="15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custom silicon; +9.63% today in chip rebound</w:t>
            </w:r>
          </w:p>
        </w:tc>
        <w:tc>
          <w:tcPr>
            <w:tcW w:type="dxa" w:w="1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LOW</w:t>
            </w:r>
          </w:p>
        </w:tc>
        <w:tc>
          <w:tcPr>
            <w:tcW w:type="dxa" w:w="16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pullback</w:t>
            </w:r>
          </w:p>
        </w:tc>
        <w:tc>
          <w:tcPr>
            <w:tcW w:type="dxa" w:w="1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1.0%</w:t>
            </w:r>
          </w:p>
        </w:tc>
        <w:tc>
          <w:tcPr>
            <w:tcW w:type="dxa" w:w="251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extended (+210% YTD), rallying — no entry. Wrong if memory/AI derating.</w:t>
            </w:r>
          </w:p>
        </w:tc>
      </w:tr>
      <w:tr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M&amp;A record pace (&gt;$1T YTD)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LOW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Clean setup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1.5%</w:t>
            </w:r>
          </w:p>
        </w:tc>
        <w:tc>
          <w:tcPr>
            <w:tcW w:type="dxa" w:w="251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~$1,020 near ATH + Oppenheimer Underperform keep setup unclean. Wrong if IB cycle stalls.</w:t>
            </w:r>
          </w:p>
        </w:tc>
      </w:tr>
      <w:tr>
        <w:tc>
          <w:tcPr>
            <w:tcW w:type="dxa" w:w="10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ARM</w:t>
            </w:r>
          </w:p>
        </w:tc>
        <w:tc>
          <w:tcPr>
            <w:tcW w:type="dxa" w:w="15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CPU/AI-edge royalty model</w:t>
            </w:r>
          </w:p>
        </w:tc>
        <w:tc>
          <w:tcPr>
            <w:tcW w:type="dxa" w:w="1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LOW</w:t>
            </w:r>
          </w:p>
        </w:tc>
        <w:tc>
          <w:tcPr>
            <w:tcW w:type="dxa" w:w="16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≤$130</w:t>
            </w:r>
          </w:p>
        </w:tc>
        <w:tc>
          <w:tcPr>
            <w:tcW w:type="dxa" w:w="1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1.0%</w:t>
            </w:r>
          </w:p>
        </w:tc>
        <w:tc>
          <w:tcPr>
            <w:tcW w:type="dxa" w:w="251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no pullback. Wrong if edge-AI cycle data disappoints.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 watchlist trigger was cleanly met at the scheduled run; the risk-on rebound works against the pullback entries. No autonomous new-position entry was executed today.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4.  Cash Recommendation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312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312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If Approvals Execute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Cash weight (CONFIRMED)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13.5%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12.5% (MSFT add) / 14.5% (energy trim)</w:t>
            </w:r>
          </w:p>
        </w:tc>
      </w:tr>
      <w:tr>
        <w:tc>
          <w:tcPr>
            <w:tcW w:type="dxa" w:w="312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IPS band</w:t>
            </w:r>
          </w:p>
        </w:tc>
        <w:tc>
          <w:tcPr>
            <w:tcW w:type="dxa" w:w="312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10.0%–20.0%</w:t>
            </w:r>
          </w:p>
        </w:tc>
        <w:tc>
          <w:tcPr>
            <w:tcW w:type="dxa" w:w="312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Within band both cases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Posture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Reactive floor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Maintained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Rationale. </w:t>
      </w:r>
      <w:r>
        <w:rPr>
          <w:rFonts w:ascii="Calibri" w:cs="Calibri" w:eastAsia="Calibri" w:hAnsi="Calibri"/>
          <w:sz w:val="20"/>
          <w:szCs w:val="20"/>
        </w:rPr>
        <w:t xml:space="preserve">Cash holds at 13.5% (CONFIRMED), inside the 10–20% band. The tape is risk-on but the hot-inflation regime is intact and UNH reports July 16; keeping dry powder against the binary event is appropriate. The pending approvals move cash in opposite directions and both leave it comfortably within band.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5.  Pending Catalysts — Status Update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1600"/>
        <w:gridCol w:w="3200"/>
        <w:gridCol w:w="25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Watch</w:t>
            </w:r>
          </w:p>
        </w:tc>
        <w:tc>
          <w:tcPr>
            <w:tcW w:type="dxa" w:w="2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UNH Q2 FY26 earnings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Thu Jul 16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Optum margin recovery, medical cost trend, MA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watch (~8 sessions)</w:t>
            </w:r>
          </w:p>
        </w:tc>
      </w:tr>
      <w:tr>
        <w:tc>
          <w:tcPr>
            <w:tcW w:type="dxa" w:w="20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Energy trim trigger</w:t>
            </w:r>
          </w:p>
        </w:tc>
        <w:tc>
          <w:tcPr>
            <w:tcW w:type="dxa" w:w="1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Armed</w:t>
            </w:r>
          </w:p>
        </w:tc>
        <w:tc>
          <w:tcPr>
            <w:tcW w:type="dxa" w:w="3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WTI &lt; $90 (now ~$68.58); OPEC+ +188k bpd Aug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approval (9th session)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MSFT add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Live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 ≤$380 met at $379.62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approval (5th session)</w:t>
            </w:r>
          </w:p>
        </w:tc>
      </w:tr>
      <w:tr>
        <w:tc>
          <w:tcPr>
            <w:tcW w:type="dxa" w:w="20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UNH add (sub-check)</w:t>
            </w:r>
          </w:p>
        </w:tc>
        <w:tc>
          <w:tcPr>
            <w:tcW w:type="dxa" w:w="1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Jul 16</w:t>
            </w:r>
          </w:p>
        </w:tc>
        <w:tc>
          <w:tcPr>
            <w:tcW w:type="dxa" w:w="3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PT raises met trigger; defer past binary earnings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DEFERRED by design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Fed / July FOMC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Late Jul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July hike off table; Sept hike &gt;60% priced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Hot-inflation regime intact</w:t>
            </w:r>
          </w:p>
        </w:tc>
      </w:tr>
      <w:tr>
        <w:tc>
          <w:tcPr>
            <w:tcW w:type="dxa" w:w="20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Carry resyncs</w:t>
            </w:r>
          </w:p>
        </w:tc>
        <w:tc>
          <w:tcPr>
            <w:tcW w:type="dxa" w:w="1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Q3 mark</w:t>
            </w:r>
          </w:p>
        </w:tc>
        <w:tc>
          <w:tcPr>
            <w:tcW w:type="dxa" w:w="3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UNH $510→~$424; MU $235→~$1,250; PLTR drift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— no trade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6.  Recommended Weight Changes (Today)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weight changes were executed today. </w:t>
      </w:r>
      <w:r>
        <w:rPr>
          <w:rFonts w:ascii="Calibri" w:cs="Calibri" w:eastAsia="Calibri" w:hAnsi="Calibri"/>
          <w:sz w:val="20"/>
          <w:szCs w:val="20"/>
        </w:rPr>
        <w:t xml:space="preserve">No Scan 2 entry trigger was cleanly met, so no autonomous new position was added. Two recommendations on existing positions carry (manager approval), and one add sub-check was deliberately deferred: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1)  Energy trim (9th session, Conf MED-HIGH). </w:t>
      </w:r>
      <w:r>
        <w:rPr>
          <w:rFonts w:ascii="Calibri" w:cs="Calibri" w:eastAsia="Calibri" w:hAnsi="Calibri"/>
          <w:sz w:val="20"/>
          <w:szCs w:val="20"/>
        </w:rPr>
        <w:t xml:space="preserve">XOM 3.0%→2.5%, EOG 2.5%→2.0%, cash +1.0% to 14.5%. Entry: reduce on the sustained sub-$90 WTI regime, now ~$68.58 with OPEC+ adding 188k bpd from August. Price stop: n/a (trim). Thesis stop: WTI reclaims $90 on renewed supply risk. Pre-mortem: wrong if the U.S.–Iran ceasefire collapses within 5 sessions of the trim. Post-trade IPS: Energy 5.5%→4.5%, cash 14.5% — within limits.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2)  MSFT add to existing position (5th session flagged, Conf MED-HIGH). </w:t>
      </w:r>
      <w:r>
        <w:rPr>
          <w:rFonts w:ascii="Calibri" w:cs="Calibri" w:eastAsia="Calibri" w:hAnsi="Calibri"/>
          <w:sz w:val="20"/>
          <w:szCs w:val="20"/>
        </w:rPr>
        <w:t xml:space="preserve">4.0%→5.0% (+1.0%). Entry ≤$380 met at $379.62. Price stop: $330 (−12%). Thesis stop: Azure growth decelerates below 20% YoY. Pre-mortem: ~$190B FY26 capex compresses margins faster than AI revenue scales. Post-trade IPS: MSFT 5.0% ≤ 7.0%; Technology 33.5%→34.5% ≤ 35.0%; cash 13.5%→12.5% ≥ 10.0% — within limits.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3)  UNH add sub-check — DEFERRED (Conf MED, timing risk high). </w:t>
      </w:r>
      <w:r>
        <w:rPr>
          <w:rFonts w:ascii="Calibri" w:cs="Calibri" w:eastAsia="Calibri" w:hAnsi="Calibri"/>
          <w:sz w:val="20"/>
          <w:szCs w:val="20"/>
        </w:rPr>
        <w:t xml:space="preserve">The sub-check condition (a) fired on multiple PT raises (Leerink $400→$462, MS $468, Bernstein $492). Gates would pass (UNH 3.0%→4.0% ≤ 7.0%; Healthcare 9.0%→10.0% ≤ 35.0%; cash 12.5% ≥ 10.0%). Recommendation is to defer the add until after the July 16 Q2 print given the binary DOJ/Optum antitrust and earnings event; adding into that catalyst is not warranted. Revisit post-earnings. Pre-mortem: wrong if a clean beat + resolved overhang re-rates the stock before we re-enter.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7.  Full Portfolio Table — 28 Positions + Cash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0"/>
        <w:gridCol w:w="1130"/>
        <w:gridCol w:w="2260"/>
        <w:gridCol w:w="730"/>
        <w:gridCol w:w="560"/>
        <w:gridCol w:w="1130"/>
        <w:gridCol w:w="2260"/>
        <w:gridCol w:w="730"/>
      </w:tblGrid>
      <w:tr>
        <w:trPr>
          <w:tblHeader/>
        </w:trPr>
        <w:tc>
          <w:tcPr>
            <w:tcW w:type="dxa" w:w="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22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Sector (GICS)</w:t>
            </w:r>
          </w:p>
        </w:tc>
        <w:tc>
          <w:tcPr>
            <w:tcW w:type="dxa" w:w="7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Wt%</w:t>
            </w:r>
          </w:p>
        </w:tc>
        <w:tc>
          <w:tcPr>
            <w:tcW w:type="dxa" w:w="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22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Sector (GICS)</w:t>
            </w:r>
          </w:p>
        </w:tc>
        <w:tc>
          <w:tcPr>
            <w:tcW w:type="dxa" w:w="7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Wt%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NVDA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16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TSM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AMZN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Cons. Disc.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5.5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17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VUG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ETF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JPM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Financials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18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SCHD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ETF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LLY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Healthcare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4.5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19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META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EOG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Energy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AVGO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21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COST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Cons. Staples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MSFT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22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Cons. Disc.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PANW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23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NEE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Utilities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QQQ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ETF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ABBV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Healthcare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ORCL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3.5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25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NFLX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11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GOOGL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26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CRWD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PLTR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27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INTC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UNH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Healthcare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28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SPOT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XOM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Energy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CASH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Cash &amp; Equiv.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15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Financials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6E3D"/>
          <w:sz w:val="18"/>
          <w:szCs w:val="18"/>
        </w:rPr>
        <w:t xml:space="preserve">Portfolio sum verified: 100.0% = 100.0%  ✓   |   Max single NVDA 6.5% ≤ 7.0%   |   Technology 33.5% (GICS) ≤ 35.0%   |   Cash 13.5% in band   |   No leverage / options / shorts.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Sector flag (CALIBRATED classification). </w:t>
      </w:r>
      <w:r>
        <w:rPr>
          <w:rFonts w:ascii="Calibri" w:cs="Calibri" w:eastAsia="Calibri" w:hAnsi="Calibri"/>
          <w:sz w:val="18"/>
          <w:szCs w:val="18"/>
        </w:rPr>
        <w:t xml:space="preserve">Under the tracker’s in-house labels (AMZN, GOOGL, CRWD, INTC tagged Technology) Technology sums to 42.0%; under GICS (AMZN→Cons. Disc., GOOGL→Comm. Svcs.) it is 33.5%, within the 35.0% cap. No breach under GICS; reconcile labels and refresh the Sector Allocation sheet at the Q3 review.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8.  Sources &amp; Methodology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Market/futures: TheStreet, CNBC, Yahoo Finance (Jul 6,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Semis: HeyGoTrade, Intellectia, CNBC (Jul 6,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Oil/OPEC+: Sunday Guardian, Trading Economics, CNBC (Jul 6,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MSFT: Wedbush, Goldman Sachs, Microsoft IR (Jun–Jul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UNH: Leerink, Morgan Stanley, Bernstein, Benzinga, Investing.com (Jun–Jul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Watchlist: KeyBanc, BofA, Yahoo Finance (Jun–Jul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Weights: WM_Growth_Portfolio_Apr2026.xlsx — Portfolio Overview (ground truth).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Provenance. </w:t>
      </w:r>
      <w:r>
        <w:rPr>
          <w:rFonts w:ascii="Calibri" w:cs="Calibri" w:eastAsia="Calibri" w:hAnsi="Calibri"/>
          <w:sz w:val="18"/>
          <w:szCs w:val="18"/>
        </w:rPr>
        <w:t xml:space="preserve">SOURCED = live/delayed data retrieved at write time. CONFIRMED = tracker ground-truth weights (sum 100.0%). CALIBRATED = position-level drift estimates (PLTR ~1.9–2.1%) and carry gaps (UNH $510→~$424; MU $235→~$1,250) fit to reconcile with confirmed weights; not a substitute for sourced marks and not presented as alpha.</w:t>
      </w:r>
    </w:p>
    <w:p>
      <w:pPr>
        <w:spacing w:before="10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This report is prepared for internal wealth-management use. It is not investment advice and not an offer to buy or sell any security. Figures are approximate and time-sensitive; past performance does not indicate future results. Governed by WM Growth Portfolio IPS v1.0.</w:t>
      </w:r>
    </w:p>
    <w:sectPr>
      <w:pgSz w:w="12240" w:h="15840" w:orient="portrait"/>
      <w:pgMar w:top="1010" w:right="1150" w:bottom="101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2026-07-06T12:14:57.609Z</dcterms:created>
  <dcterms:modified xsi:type="dcterms:W3CDTF">2026-07-06T12:14:57.610Z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