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DAILY PRE-MARKET PORTFOLIO REPORT</w:t>
      </w:r>
    </w:p>
    <w:p>
      <w:pPr>
        <w:jc w:val="center"/>
      </w:pPr>
      <w:r>
        <w:rPr>
          <w:rFonts w:ascii="Calibri" w:hAnsi="Calibri"/>
          <w:i/>
          <w:sz w:val="22"/>
        </w:rPr>
        <w:t>Long-Term Growth Portfolio  |  Active Wealth Management</w:t>
      </w:r>
    </w:p>
    <w:p>
      <w:pPr>
        <w:jc w:val="center"/>
      </w:pPr>
      <w:r>
        <w:rPr>
          <w:rFonts w:ascii="Calibri" w:hAnsi="Calibri"/>
          <w:color w:val="555555"/>
          <w:sz w:val="20"/>
        </w:rPr>
        <w:t>Report Date: Friday, June 5, 2026  |  Benchmark: S&amp;P 500  |  Horizon: Long-Term Growth</w:t>
      </w:r>
    </w:p>
    <w:p>
      <w:pPr>
        <w:spacing w:before="160" w:after="80"/>
      </w:pPr>
      <w:r>
        <w:rPr>
          <w:rFonts w:ascii="Calibri" w:hAnsi="Calibri"/>
          <w:b/>
          <w:color w:val="365F91"/>
          <w:sz w:val="28"/>
        </w:rPr>
        <w:t>1. Market Snapshot — Pre-Market / Intraday</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244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Indicator</w:t>
            </w:r>
          </w:p>
        </w:tc>
        <w:tc>
          <w:tcPr>
            <w:tcW w:type="dxa" w:w="136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Level</w:t>
            </w:r>
          </w:p>
        </w:tc>
        <w:tc>
          <w:tcPr>
            <w:tcW w:type="dxa" w:w="1224"/>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Change</w:t>
            </w:r>
          </w:p>
        </w:tc>
        <w:tc>
          <w:tcPr>
            <w:tcW w:type="dxa" w:w="4104"/>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Note</w:t>
            </w:r>
          </w:p>
        </w:tc>
        <w:tc>
          <w:tcPr>
            <w:tcW w:type="dxa" w:w="1080"/>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Tag</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S&amp;P 500 (Thu 6/4 close)</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7,584.31</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+0.41%</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Record area; chip selloff began intraday</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Nasdaq Composite (Thu 6/4)</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26,830.96</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-0.09%</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AVGO-led semi pressure into close</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S&amp;P 500 (Fri 6/5 intraday)</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7,383.74</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-2.64%</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Post-NFP yield shock; growth-multiple unwind</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Nasdaq (Fri 6/5 intraday)</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25,709.43</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-4.18%</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Worst session since Apr 2025</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Dow (Fri 6/5 intraday)</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50,866.78</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-1.35%</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Defensive bid contains the drawdown</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10Y UST Yield (Fri 6/5)</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4.534%</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+5 bp</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Highest since May 21 on hot NFP</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30Y UST Yield (Fri 6/5)</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5.021%</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+5 bp</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Long-duration shock to growth book</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r>
        <w:tc>
          <w:tcPr>
            <w:tcW w:type="dxa" w:w="2448"/>
            <w:tcBorders>
              <w:top w:val="single" w:sz="4" w:color="BFBFBF"/>
              <w:left w:val="single" w:sz="4" w:color="BFBFBF"/>
              <w:bottom w:val="single" w:sz="4" w:color="BFBFBF"/>
              <w:right w:val="single" w:sz="4" w:color="BFBFBF"/>
            </w:tcBorders>
            <w:vAlign w:val="top"/>
          </w:tcPr>
          <w:p>
            <w:r/>
            <w:r>
              <w:rPr>
                <w:rFonts w:ascii="Calibri" w:hAnsi="Calibri"/>
                <w:sz w:val="18"/>
              </w:rPr>
              <w:t>WTI Crude (Fri 6/5)</w:t>
            </w:r>
          </w:p>
        </w:tc>
        <w:tc>
          <w:tcPr>
            <w:tcW w:type="dxa" w:w="1368"/>
            <w:tcBorders>
              <w:top w:val="single" w:sz="4" w:color="BFBFBF"/>
              <w:left w:val="single" w:sz="4" w:color="BFBFBF"/>
              <w:bottom w:val="single" w:sz="4" w:color="BFBFBF"/>
              <w:right w:val="single" w:sz="4" w:color="BFBFBF"/>
            </w:tcBorders>
            <w:vAlign w:val="top"/>
          </w:tcPr>
          <w:p>
            <w:r/>
            <w:r>
              <w:rPr>
                <w:rFonts w:ascii="Consolas" w:hAnsi="Consolas"/>
                <w:sz w:val="18"/>
              </w:rPr>
              <w:t>$91/bbl</w:t>
            </w:r>
          </w:p>
        </w:tc>
        <w:tc>
          <w:tcPr>
            <w:tcW w:type="dxa" w:w="1224"/>
            <w:tcBorders>
              <w:top w:val="single" w:sz="4" w:color="BFBFBF"/>
              <w:left w:val="single" w:sz="4" w:color="BFBFBF"/>
              <w:bottom w:val="single" w:sz="4" w:color="BFBFBF"/>
              <w:right w:val="single" w:sz="4" w:color="BFBFBF"/>
            </w:tcBorders>
            <w:vAlign w:val="top"/>
          </w:tcPr>
          <w:p>
            <w:r/>
            <w:r>
              <w:rPr>
                <w:rFonts w:ascii="Consolas" w:hAnsi="Consolas"/>
                <w:sz w:val="18"/>
              </w:rPr>
              <w:t>~ -3.1%*</w:t>
            </w:r>
          </w:p>
        </w:tc>
        <w:tc>
          <w:tcPr>
            <w:tcW w:type="dxa" w:w="4104"/>
            <w:tcBorders>
              <w:top w:val="single" w:sz="4" w:color="BFBFBF"/>
              <w:left w:val="single" w:sz="4" w:color="BFBFBF"/>
              <w:bottom w:val="single" w:sz="4" w:color="BFBFBF"/>
              <w:right w:val="single" w:sz="4" w:color="BFBFBF"/>
            </w:tcBorders>
            <w:vAlign w:val="top"/>
          </w:tcPr>
          <w:p>
            <w:r/>
            <w:r>
              <w:rPr>
                <w:rFonts w:ascii="Calibri" w:hAnsi="Calibri"/>
                <w:sz w:val="18"/>
              </w:rPr>
              <w:t>Approaching IPS sub-$90 trim trigger</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SOURCED</w:t>
            </w:r>
          </w:p>
        </w:tc>
      </w:tr>
    </w:tbl>
    <w:p>
      <w:pPr>
        <w:spacing w:after="80"/>
      </w:pPr>
      <w:r>
        <w:rPr>
          <w:rFonts w:ascii="Calibri" w:hAnsi="Calibri"/>
          <w:b/>
          <w:color w:val="000000"/>
          <w:sz w:val="20"/>
        </w:rPr>
        <w:t>Macro lens.</w:t>
      </w:r>
      <w:r>
        <w:rPr>
          <w:rFonts w:ascii="Calibri" w:hAnsi="Calibri"/>
          <w:sz w:val="20"/>
        </w:rPr>
        <w:t xml:space="preserve"> May NFP printed +172k vs +85k consensus (BLS Employment Situation 2026-M05; SOURCED). Prior revisions: Apr +179k (from +115k), Mar +214k (from +185k). Unemployment unchanged at 4.3%. Rate-cut path closes further; markets push residual hike risk into the Warsh-led FOMC Jun 16-17. AI-semi multiple debate triggered by AVGO post-print reaction compounds the duration shock.</w:t>
      </w:r>
    </w:p>
    <w:p>
      <w:pPr>
        <w:spacing w:before="160" w:after="80"/>
      </w:pPr>
      <w:r>
        <w:rPr>
          <w:rFonts w:ascii="Calibri" w:hAnsi="Calibri"/>
          <w:b/>
          <w:color w:val="365F91"/>
          <w:sz w:val="28"/>
        </w:rPr>
        <w:t>2. Scan 1 — Holdings Review (Affected Names)</w:t>
      </w:r>
    </w:p>
    <w:tbl>
      <w:tblPr>
        <w:tblW w:type="auto" w:w="0"/>
        <w:tblLayout w:type="fixed"/>
        <w:tblLook w:firstColumn="1" w:firstRow="1" w:lastColumn="0" w:lastRow="0" w:noHBand="0" w:noVBand="1" w:val="04A0"/>
      </w:tblPr>
      <w:tblGrid>
        <w:gridCol w:w="2484"/>
        <w:gridCol w:w="2484"/>
        <w:gridCol w:w="2484"/>
        <w:gridCol w:w="2484"/>
      </w:tblGrid>
      <w:tr>
        <w:tc>
          <w:tcPr>
            <w:tcW w:type="dxa" w:w="100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Ticker</w:t>
            </w:r>
          </w:p>
        </w:tc>
        <w:tc>
          <w:tcPr>
            <w:tcW w:type="dxa" w:w="388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Event / Headline</w:t>
            </w:r>
          </w:p>
        </w:tc>
        <w:tc>
          <w:tcPr>
            <w:tcW w:type="dxa" w:w="3744"/>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Read</w:t>
            </w:r>
          </w:p>
        </w:tc>
        <w:tc>
          <w:tcPr>
            <w:tcW w:type="dxa" w:w="100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Status</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AVGO</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Q2 FY26 (6/3 AMC): rev $22.2B (+48%); AI semi $10.8B (+143%); Q3 guide AI $16B (+200%). Stock -3.8% Fri.</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Beat with acceleration; price reflects positioning + AI-multiple compression. Held 4.0%.</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CRWD</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Q1 FY27 (6/3 AMC): EPS $1.10 vs $0.88 est; record NN-ARR $256M (+32%); raised FY NN-ARR to +27.7%; 4-for-1 split.</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Beat-and-raise validates 4/21 entry; thesis intact at 1.5%.</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COST</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Q3 FY26 (5/28 AMC): EPS $4.93 vs $4.92; rev $69.15B (+11.6%); comps +9.8% (+6.6% ex-gas/FX).</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In-line beat clears the catalyst window.</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NVDA</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Pre-mkt ≈ $207 vs 6/4 close $218.66; caught in AI-semi unwind. May 20 print beat still on file.</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Drawdown is positioning-driven, not thesis. At 6.5% / 7.0% cap — no add room.</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MU</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-6.3% intraday on AVGO read-through. HBM3E demand narrative unchanged.</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Largest single-day MTM loss in the held semi book; thesis intact at 2.5%.</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MSFT</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+0.3% Thu vs semi tape; Fri pre-mkt ≈ $430 area, relative outperformer.</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Software / Copilot leverage less exposed than chip-cap-ex names; defensive within the growth book.</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UNH</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Tracker carry $510 vs market ≈ $280; DOJ criminal + civil Medicare probes confirmed; consensus PT $354.</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8th-session FLAG. No autonomous trade; reconciliation pending next quarterly mark.</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FLAG</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XOM / EOG</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WTI ≈ $91 on Iran-talks progress + China import weakness + OPEC+ 6/7 setup.</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Trim trigger (sustained &lt;$90 close) NOT armed; pending OPEC+ outcome.</w:t>
            </w:r>
          </w:p>
        </w:tc>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PENDING</w:t>
            </w:r>
          </w:p>
        </w:tc>
      </w:tr>
    </w:tbl>
    <w:p>
      <w:pPr>
        <w:spacing w:before="160" w:after="80"/>
      </w:pPr>
      <w:r>
        <w:rPr>
          <w:rFonts w:ascii="Calibri" w:hAnsi="Calibri"/>
          <w:b/>
          <w:color w:val="365F91"/>
          <w:sz w:val="28"/>
        </w:rPr>
        <w:t>3. Scan 2 — New Opportunities &amp; Watchlist</w:t>
      </w:r>
    </w:p>
    <w:tbl>
      <w:tblPr>
        <w:tblW w:type="auto" w:w="0"/>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00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Candidate</w:t>
            </w:r>
          </w:p>
        </w:tc>
        <w:tc>
          <w:tcPr>
            <w:tcW w:type="dxa" w:w="2232"/>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Setup</w:t>
            </w:r>
          </w:p>
        </w:tc>
        <w:tc>
          <w:tcPr>
            <w:tcW w:type="dxa" w:w="792"/>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Confidence</w:t>
            </w:r>
          </w:p>
        </w:tc>
        <w:tc>
          <w:tcPr>
            <w:tcW w:type="dxa" w:w="936"/>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Proposed Size</w:t>
            </w:r>
          </w:p>
        </w:tc>
        <w:tc>
          <w:tcPr>
            <w:tcW w:type="dxa" w:w="1800"/>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Entry Trigger</w:t>
            </w:r>
          </w:p>
        </w:tc>
        <w:tc>
          <w:tcPr>
            <w:tcW w:type="dxa" w:w="864"/>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Price Stop</w:t>
            </w:r>
          </w:p>
        </w:tc>
        <w:tc>
          <w:tcPr>
            <w:tcW w:type="dxa" w:w="936"/>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Thesis Stop</w:t>
            </w:r>
          </w:p>
        </w:tc>
        <w:tc>
          <w:tcPr>
            <w:tcW w:type="dxa" w:w="1080"/>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Pre-mortem</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AMD</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-6.3% Fri; AI-GPU runner-up; MI400 ramp narrative</w:t>
            </w:r>
          </w:p>
        </w:tc>
        <w:tc>
          <w:tcPr>
            <w:tcW w:type="dxa" w:w="792"/>
            <w:tcBorders>
              <w:top w:val="single" w:sz="4" w:color="BFBFBF"/>
              <w:left w:val="single" w:sz="4" w:color="BFBFBF"/>
              <w:bottom w:val="single" w:sz="4" w:color="BFBFBF"/>
              <w:right w:val="single" w:sz="4" w:color="BFBFBF"/>
            </w:tcBorders>
            <w:vAlign w:val="top"/>
          </w:tcPr>
          <w:p>
            <w:r/>
            <w:r>
              <w:rPr>
                <w:rFonts w:ascii="Calibri" w:hAnsi="Calibri"/>
                <w:sz w:val="18"/>
              </w:rPr>
              <w:t>LOW</w:t>
            </w:r>
          </w:p>
        </w:tc>
        <w:tc>
          <w:tcPr>
            <w:tcW w:type="dxa" w:w="936"/>
            <w:tcBorders>
              <w:top w:val="single" w:sz="4" w:color="BFBFBF"/>
              <w:left w:val="single" w:sz="4" w:color="BFBFBF"/>
              <w:bottom w:val="single" w:sz="4" w:color="BFBFBF"/>
              <w:right w:val="single" w:sz="4" w:color="BFBFBF"/>
            </w:tcBorders>
            <w:vAlign w:val="top"/>
          </w:tcPr>
          <w:p>
            <w:r/>
            <w:r>
              <w:rPr>
                <w:rFonts w:ascii="Calibri" w:hAnsi="Calibri"/>
                <w:sz w:val="18"/>
              </w:rPr>
              <w:t>0.0% (watch)</w:t>
            </w:r>
          </w:p>
        </w:tc>
        <w:tc>
          <w:tcPr>
            <w:tcW w:type="dxa" w:w="1800"/>
            <w:tcBorders>
              <w:top w:val="single" w:sz="4" w:color="BFBFBF"/>
              <w:left w:val="single" w:sz="4" w:color="BFBFBF"/>
              <w:bottom w:val="single" w:sz="4" w:color="BFBFBF"/>
              <w:right w:val="single" w:sz="4" w:color="BFBFBF"/>
            </w:tcBorders>
            <w:vAlign w:val="top"/>
          </w:tcPr>
          <w:p>
            <w:r/>
            <w:r>
              <w:rPr>
                <w:rFonts w:ascii="Calibri" w:hAnsi="Calibri"/>
                <w:sz w:val="18"/>
              </w:rPr>
              <w:t>Two sustained closes above 50-DMA + AVGO-led tape reversal</w:t>
            </w:r>
          </w:p>
        </w:tc>
        <w:tc>
          <w:tcPr>
            <w:tcW w:type="dxa" w:w="864"/>
            <w:tcBorders>
              <w:top w:val="single" w:sz="4" w:color="BFBFBF"/>
              <w:left w:val="single" w:sz="4" w:color="BFBFBF"/>
              <w:bottom w:val="single" w:sz="4" w:color="BFBFBF"/>
              <w:right w:val="single" w:sz="4" w:color="BFBFBF"/>
            </w:tcBorders>
            <w:vAlign w:val="top"/>
          </w:tcPr>
          <w:p>
            <w:r/>
            <w:r>
              <w:rPr>
                <w:rFonts w:ascii="Calibri" w:hAnsi="Calibri"/>
                <w:sz w:val="18"/>
              </w:rPr>
              <w:t>-8% from entry</w:t>
            </w:r>
          </w:p>
        </w:tc>
        <w:tc>
          <w:tcPr>
            <w:tcW w:type="dxa" w:w="936"/>
            <w:tcBorders>
              <w:top w:val="single" w:sz="4" w:color="BFBFBF"/>
              <w:left w:val="single" w:sz="4" w:color="BFBFBF"/>
              <w:bottom w:val="single" w:sz="4" w:color="BFBFBF"/>
              <w:right w:val="single" w:sz="4" w:color="BFBFBF"/>
            </w:tcBorders>
            <w:vAlign w:val="top"/>
          </w:tcPr>
          <w:p>
            <w:r/>
            <w:r>
              <w:rPr>
                <w:rFonts w:ascii="Calibri" w:hAnsi="Calibri"/>
                <w:sz w:val="18"/>
              </w:rPr>
              <w:t>AI-GPU spend pulls in for 2H26</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Wrong if the AI-semi multiple-reset is structural, not positional</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MRVL</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-8% Fri; AI-networking exposure; oversold rate-of-change</w:t>
            </w:r>
          </w:p>
        </w:tc>
        <w:tc>
          <w:tcPr>
            <w:tcW w:type="dxa" w:w="792"/>
            <w:tcBorders>
              <w:top w:val="single" w:sz="4" w:color="BFBFBF"/>
              <w:left w:val="single" w:sz="4" w:color="BFBFBF"/>
              <w:bottom w:val="single" w:sz="4" w:color="BFBFBF"/>
              <w:right w:val="single" w:sz="4" w:color="BFBFBF"/>
            </w:tcBorders>
            <w:vAlign w:val="top"/>
          </w:tcPr>
          <w:p>
            <w:r/>
            <w:r>
              <w:rPr>
                <w:rFonts w:ascii="Calibri" w:hAnsi="Calibri"/>
                <w:sz w:val="18"/>
              </w:rPr>
              <w:t>LOW</w:t>
            </w:r>
          </w:p>
        </w:tc>
        <w:tc>
          <w:tcPr>
            <w:tcW w:type="dxa" w:w="936"/>
            <w:tcBorders>
              <w:top w:val="single" w:sz="4" w:color="BFBFBF"/>
              <w:left w:val="single" w:sz="4" w:color="BFBFBF"/>
              <w:bottom w:val="single" w:sz="4" w:color="BFBFBF"/>
              <w:right w:val="single" w:sz="4" w:color="BFBFBF"/>
            </w:tcBorders>
            <w:vAlign w:val="top"/>
          </w:tcPr>
          <w:p>
            <w:r/>
            <w:r>
              <w:rPr>
                <w:rFonts w:ascii="Calibri" w:hAnsi="Calibri"/>
                <w:sz w:val="18"/>
              </w:rPr>
              <w:t>0.0% (watch)</w:t>
            </w:r>
          </w:p>
        </w:tc>
        <w:tc>
          <w:tcPr>
            <w:tcW w:type="dxa" w:w="1800"/>
            <w:tcBorders>
              <w:top w:val="single" w:sz="4" w:color="BFBFBF"/>
              <w:left w:val="single" w:sz="4" w:color="BFBFBF"/>
              <w:bottom w:val="single" w:sz="4" w:color="BFBFBF"/>
              <w:right w:val="single" w:sz="4" w:color="BFBFBF"/>
            </w:tcBorders>
            <w:vAlign w:val="top"/>
          </w:tcPr>
          <w:p>
            <w:r/>
            <w:r>
              <w:rPr>
                <w:rFonts w:ascii="Calibri" w:hAnsi="Calibri"/>
                <w:sz w:val="18"/>
              </w:rPr>
              <w:t>Confirmation of AI-networking re-rating via AVGO follow-through prints</w:t>
            </w:r>
          </w:p>
        </w:tc>
        <w:tc>
          <w:tcPr>
            <w:tcW w:type="dxa" w:w="864"/>
            <w:tcBorders>
              <w:top w:val="single" w:sz="4" w:color="BFBFBF"/>
              <w:left w:val="single" w:sz="4" w:color="BFBFBF"/>
              <w:bottom w:val="single" w:sz="4" w:color="BFBFBF"/>
              <w:right w:val="single" w:sz="4" w:color="BFBFBF"/>
            </w:tcBorders>
            <w:vAlign w:val="top"/>
          </w:tcPr>
          <w:p>
            <w:r/>
            <w:r>
              <w:rPr>
                <w:rFonts w:ascii="Calibri" w:hAnsi="Calibri"/>
                <w:sz w:val="18"/>
              </w:rPr>
              <w:t>-10% from entry</w:t>
            </w:r>
          </w:p>
        </w:tc>
        <w:tc>
          <w:tcPr>
            <w:tcW w:type="dxa" w:w="936"/>
            <w:tcBorders>
              <w:top w:val="single" w:sz="4" w:color="BFBFBF"/>
              <w:left w:val="single" w:sz="4" w:color="BFBFBF"/>
              <w:bottom w:val="single" w:sz="4" w:color="BFBFBF"/>
              <w:right w:val="single" w:sz="4" w:color="BFBFBF"/>
            </w:tcBorders>
            <w:vAlign w:val="top"/>
          </w:tcPr>
          <w:p>
            <w:r/>
            <w:r>
              <w:rPr>
                <w:rFonts w:ascii="Calibri" w:hAnsi="Calibri"/>
                <w:sz w:val="18"/>
              </w:rPr>
              <w:t>Custom-silicon demand misses 2H26 cadence</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Wrong if AVGO's $16B Q3 guide proves to be the cycle ceiling rather than the floor</w:t>
            </w:r>
          </w:p>
        </w:tc>
      </w:tr>
      <w:tr>
        <w:tc>
          <w:tcPr>
            <w:tcW w:type="dxa" w:w="1008"/>
            <w:tcBorders>
              <w:top w:val="single" w:sz="4" w:color="BFBFBF"/>
              <w:left w:val="single" w:sz="4" w:color="BFBFBF"/>
              <w:bottom w:val="single" w:sz="4" w:color="BFBFBF"/>
              <w:right w:val="single" w:sz="4" w:color="BFBFBF"/>
            </w:tcBorders>
            <w:vAlign w:val="top"/>
          </w:tcPr>
          <w:p>
            <w:r/>
            <w:r>
              <w:rPr>
                <w:rFonts w:ascii="Calibri" w:hAnsi="Calibri"/>
                <w:sz w:val="18"/>
              </w:rPr>
              <w:t>(No new add)</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Pre-mkt scan surfaces only LOW-conviction setups; IPS-mandated reactive posture preserved into FOMC.</w:t>
            </w:r>
          </w:p>
        </w:tc>
        <w:tc>
          <w:tcPr>
            <w:tcW w:type="dxa" w:w="792"/>
            <w:tcBorders>
              <w:top w:val="single" w:sz="4" w:color="BFBFBF"/>
              <w:left w:val="single" w:sz="4" w:color="BFBFBF"/>
              <w:bottom w:val="single" w:sz="4" w:color="BFBFBF"/>
              <w:right w:val="single" w:sz="4" w:color="BFBFBF"/>
            </w:tcBorders>
            <w:vAlign w:val="top"/>
          </w:tcPr>
          <w:p>
            <w:r/>
            <w:r>
              <w:rPr>
                <w:rFonts w:ascii="Calibri" w:hAnsi="Calibri"/>
                <w:sz w:val="18"/>
              </w:rPr>
              <w:t>—</w:t>
            </w:r>
          </w:p>
        </w:tc>
        <w:tc>
          <w:tcPr>
            <w:tcW w:type="dxa" w:w="936"/>
            <w:tcBorders>
              <w:top w:val="single" w:sz="4" w:color="BFBFBF"/>
              <w:left w:val="single" w:sz="4" w:color="BFBFBF"/>
              <w:bottom w:val="single" w:sz="4" w:color="BFBFBF"/>
              <w:right w:val="single" w:sz="4" w:color="BFBFBF"/>
            </w:tcBorders>
            <w:vAlign w:val="top"/>
          </w:tcPr>
          <w:p>
            <w:r/>
            <w:r>
              <w:rPr>
                <w:rFonts w:ascii="Calibri" w:hAnsi="Calibri"/>
                <w:sz w:val="18"/>
              </w:rPr>
              <w:t>—</w:t>
            </w:r>
          </w:p>
        </w:tc>
        <w:tc>
          <w:tcPr>
            <w:tcW w:type="dxa" w:w="1800"/>
            <w:tcBorders>
              <w:top w:val="single" w:sz="4" w:color="BFBFBF"/>
              <w:left w:val="single" w:sz="4" w:color="BFBFBF"/>
              <w:bottom w:val="single" w:sz="4" w:color="BFBFBF"/>
              <w:right w:val="single" w:sz="4" w:color="BFBFBF"/>
            </w:tcBorders>
            <w:vAlign w:val="top"/>
          </w:tcPr>
          <w:p>
            <w:r/>
            <w:r>
              <w:rPr>
                <w:rFonts w:ascii="Calibri" w:hAnsi="Calibri"/>
                <w:sz w:val="18"/>
              </w:rPr>
              <w:t>—</w:t>
            </w:r>
          </w:p>
        </w:tc>
        <w:tc>
          <w:tcPr>
            <w:tcW w:type="dxa" w:w="864"/>
            <w:tcBorders>
              <w:top w:val="single" w:sz="4" w:color="BFBFBF"/>
              <w:left w:val="single" w:sz="4" w:color="BFBFBF"/>
              <w:bottom w:val="single" w:sz="4" w:color="BFBFBF"/>
              <w:right w:val="single" w:sz="4" w:color="BFBFBF"/>
            </w:tcBorders>
            <w:vAlign w:val="top"/>
          </w:tcPr>
          <w:p>
            <w:r/>
            <w:r>
              <w:rPr>
                <w:rFonts w:ascii="Calibri" w:hAnsi="Calibri"/>
                <w:sz w:val="18"/>
              </w:rPr>
              <w:t>—</w:t>
            </w:r>
          </w:p>
        </w:tc>
        <w:tc>
          <w:tcPr>
            <w:tcW w:type="dxa" w:w="936"/>
            <w:tcBorders>
              <w:top w:val="single" w:sz="4" w:color="BFBFBF"/>
              <w:left w:val="single" w:sz="4" w:color="BFBFBF"/>
              <w:bottom w:val="single" w:sz="4" w:color="BFBFBF"/>
              <w:right w:val="single" w:sz="4" w:color="BFBFBF"/>
            </w:tcBorders>
            <w:vAlign w:val="top"/>
          </w:tcPr>
          <w:p>
            <w:r/>
            <w:r>
              <w:rPr>
                <w:rFonts w:ascii="Calibri" w:hAnsi="Calibri"/>
                <w:sz w:val="18"/>
              </w:rPr>
              <w:t>—</w:t>
            </w:r>
          </w:p>
        </w:tc>
        <w:tc>
          <w:tcPr>
            <w:tcW w:type="dxa" w:w="1080"/>
            <w:tcBorders>
              <w:top w:val="single" w:sz="4" w:color="BFBFBF"/>
              <w:left w:val="single" w:sz="4" w:color="BFBFBF"/>
              <w:bottom w:val="single" w:sz="4" w:color="BFBFBF"/>
              <w:right w:val="single" w:sz="4" w:color="BFBFBF"/>
            </w:tcBorders>
            <w:vAlign w:val="top"/>
          </w:tcPr>
          <w:p>
            <w:r/>
            <w:r>
              <w:rPr>
                <w:rFonts w:ascii="Calibri" w:hAnsi="Calibri"/>
                <w:sz w:val="18"/>
              </w:rPr>
              <w:t>—</w:t>
            </w:r>
          </w:p>
        </w:tc>
      </w:tr>
    </w:tbl>
    <w:p>
      <w:pPr>
        <w:spacing w:before="160" w:after="80"/>
      </w:pPr>
      <w:r>
        <w:rPr>
          <w:rFonts w:ascii="Calibri" w:hAnsi="Calibri"/>
          <w:b/>
          <w:color w:val="365F91"/>
          <w:sz w:val="28"/>
        </w:rPr>
        <w:t>4. Cash Recommendation</w:t>
      </w:r>
    </w:p>
    <w:tbl>
      <w:tblPr>
        <w:tblW w:type="auto" w:w="0"/>
        <w:tblLayout w:type="fixed"/>
        <w:tblLook w:firstColumn="1" w:firstRow="1" w:lastColumn="0" w:lastRow="0" w:noHBand="0" w:noVBand="1" w:val="04A0"/>
      </w:tblPr>
      <w:tblGrid>
        <w:gridCol w:w="2484"/>
        <w:gridCol w:w="2484"/>
        <w:gridCol w:w="2484"/>
        <w:gridCol w:w="2484"/>
      </w:tblGrid>
      <w:tr>
        <w:tc>
          <w:tcPr>
            <w:tcW w:type="dxa" w:w="1656"/>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Trigger</w:t>
            </w:r>
          </w:p>
        </w:tc>
        <w:tc>
          <w:tcPr>
            <w:tcW w:type="dxa" w:w="2880"/>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Threshold</w:t>
            </w:r>
          </w:p>
        </w:tc>
        <w:tc>
          <w:tcPr>
            <w:tcW w:type="dxa" w:w="3744"/>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Today's Read</w:t>
            </w:r>
          </w:p>
        </w:tc>
        <w:tc>
          <w:tcPr>
            <w:tcW w:type="dxa" w:w="136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Status</w:t>
            </w:r>
          </w:p>
        </w:tc>
      </w:tr>
      <w:tr>
        <w:tc>
          <w:tcPr>
            <w:tcW w:type="dxa" w:w="1656"/>
            <w:tcBorders>
              <w:top w:val="single" w:sz="4" w:color="BFBFBF"/>
              <w:left w:val="single" w:sz="4" w:color="BFBFBF"/>
              <w:bottom w:val="single" w:sz="4" w:color="BFBFBF"/>
              <w:right w:val="single" w:sz="4" w:color="BFBFBF"/>
            </w:tcBorders>
            <w:vAlign w:val="top"/>
          </w:tcPr>
          <w:p>
            <w:r/>
            <w:r>
              <w:rPr>
                <w:rFonts w:ascii="Calibri" w:hAnsi="Calibri"/>
                <w:sz w:val="18"/>
              </w:rPr>
              <w:t>Drawdown deploy</w:t>
            </w:r>
          </w:p>
        </w:tc>
        <w:tc>
          <w:tcPr>
            <w:tcW w:type="dxa" w:w="2880"/>
            <w:tcBorders>
              <w:top w:val="single" w:sz="4" w:color="BFBFBF"/>
              <w:left w:val="single" w:sz="4" w:color="BFBFBF"/>
              <w:bottom w:val="single" w:sz="4" w:color="BFBFBF"/>
              <w:right w:val="single" w:sz="4" w:color="BFBFBF"/>
            </w:tcBorders>
            <w:vAlign w:val="top"/>
          </w:tcPr>
          <w:p>
            <w:r/>
            <w:r>
              <w:rPr>
                <w:rFonts w:ascii="Calibri" w:hAnsi="Calibri"/>
                <w:sz w:val="18"/>
              </w:rPr>
              <w:t>WTD ≥ –3% (S&amp;P 500 cash close)</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Fri intraday -2.64%; cannot confirm pre-open</w:t>
            </w:r>
          </w:p>
        </w:tc>
        <w:tc>
          <w:tcPr>
            <w:tcW w:type="dxa" w:w="1368"/>
            <w:tcBorders>
              <w:top w:val="single" w:sz="4" w:color="BFBFBF"/>
              <w:left w:val="single" w:sz="4" w:color="BFBFBF"/>
              <w:bottom w:val="single" w:sz="4" w:color="BFBFBF"/>
              <w:right w:val="single" w:sz="4" w:color="BFBFBF"/>
            </w:tcBorders>
            <w:vAlign w:val="top"/>
          </w:tcPr>
          <w:p>
            <w:r/>
            <w:r>
              <w:rPr>
                <w:rFonts w:ascii="Calibri" w:hAnsi="Calibri"/>
                <w:sz w:val="18"/>
              </w:rPr>
              <w:t>PENDING</w:t>
            </w:r>
          </w:p>
        </w:tc>
      </w:tr>
      <w:tr>
        <w:tc>
          <w:tcPr>
            <w:tcW w:type="dxa" w:w="1656"/>
            <w:tcBorders>
              <w:top w:val="single" w:sz="4" w:color="BFBFBF"/>
              <w:left w:val="single" w:sz="4" w:color="BFBFBF"/>
              <w:bottom w:val="single" w:sz="4" w:color="BFBFBF"/>
              <w:right w:val="single" w:sz="4" w:color="BFBFBF"/>
            </w:tcBorders>
            <w:vAlign w:val="top"/>
          </w:tcPr>
          <w:p>
            <w:r/>
            <w:r>
              <w:rPr>
                <w:rFonts w:ascii="Calibri" w:hAnsi="Calibri"/>
                <w:sz w:val="18"/>
              </w:rPr>
              <w:t>Macro deploy</w:t>
            </w:r>
          </w:p>
        </w:tc>
        <w:tc>
          <w:tcPr>
            <w:tcW w:type="dxa" w:w="2880"/>
            <w:tcBorders>
              <w:top w:val="single" w:sz="4" w:color="BFBFBF"/>
              <w:left w:val="single" w:sz="4" w:color="BFBFBF"/>
              <w:bottom w:val="single" w:sz="4" w:color="BFBFBF"/>
              <w:right w:val="single" w:sz="4" w:color="BFBFBF"/>
            </w:tcBorders>
            <w:vAlign w:val="top"/>
          </w:tcPr>
          <w:p>
            <w:r/>
            <w:r>
              <w:rPr>
                <w:rFonts w:ascii="Calibri" w:hAnsi="Calibri"/>
                <w:sz w:val="18"/>
              </w:rPr>
              <w:t>NFP &lt;30k AND market –1.5%</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NFP +172k — inverted; no deploy</w:t>
            </w:r>
          </w:p>
        </w:tc>
        <w:tc>
          <w:tcPr>
            <w:tcW w:type="dxa" w:w="1368"/>
            <w:tcBorders>
              <w:top w:val="single" w:sz="4" w:color="BFBFBF"/>
              <w:left w:val="single" w:sz="4" w:color="BFBFBF"/>
              <w:bottom w:val="single" w:sz="4" w:color="BFBFBF"/>
              <w:right w:val="single" w:sz="4" w:color="BFBFBF"/>
            </w:tcBorders>
            <w:vAlign w:val="top"/>
          </w:tcPr>
          <w:p>
            <w:r/>
            <w:r>
              <w:rPr>
                <w:rFonts w:ascii="Calibri" w:hAnsi="Calibri"/>
                <w:sz w:val="18"/>
              </w:rPr>
              <w:t>NO</w:t>
            </w:r>
          </w:p>
        </w:tc>
      </w:tr>
      <w:tr>
        <w:tc>
          <w:tcPr>
            <w:tcW w:type="dxa" w:w="1656"/>
            <w:tcBorders>
              <w:top w:val="single" w:sz="4" w:color="BFBFBF"/>
              <w:left w:val="single" w:sz="4" w:color="BFBFBF"/>
              <w:bottom w:val="single" w:sz="4" w:color="BFBFBF"/>
              <w:right w:val="single" w:sz="4" w:color="BFBFBF"/>
            </w:tcBorders>
            <w:vAlign w:val="top"/>
          </w:tcPr>
          <w:p>
            <w:r/>
            <w:r>
              <w:rPr>
                <w:rFonts w:ascii="Calibri" w:hAnsi="Calibri"/>
                <w:sz w:val="18"/>
              </w:rPr>
              <w:t>Energy trim</w:t>
            </w:r>
          </w:p>
        </w:tc>
        <w:tc>
          <w:tcPr>
            <w:tcW w:type="dxa" w:w="2880"/>
            <w:tcBorders>
              <w:top w:val="single" w:sz="4" w:color="BFBFBF"/>
              <w:left w:val="single" w:sz="4" w:color="BFBFBF"/>
              <w:bottom w:val="single" w:sz="4" w:color="BFBFBF"/>
              <w:right w:val="single" w:sz="4" w:color="BFBFBF"/>
            </w:tcBorders>
            <w:vAlign w:val="top"/>
          </w:tcPr>
          <w:p>
            <w:r/>
            <w:r>
              <w:rPr>
                <w:rFonts w:ascii="Calibri" w:hAnsi="Calibri"/>
                <w:sz w:val="18"/>
              </w:rPr>
              <w:t>Sustained WTI close &lt;$90</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Fri intraday $91; not confirmed</w:t>
            </w:r>
          </w:p>
        </w:tc>
        <w:tc>
          <w:tcPr>
            <w:tcW w:type="dxa" w:w="1368"/>
            <w:tcBorders>
              <w:top w:val="single" w:sz="4" w:color="BFBFBF"/>
              <w:left w:val="single" w:sz="4" w:color="BFBFBF"/>
              <w:bottom w:val="single" w:sz="4" w:color="BFBFBF"/>
              <w:right w:val="single" w:sz="4" w:color="BFBFBF"/>
            </w:tcBorders>
            <w:vAlign w:val="top"/>
          </w:tcPr>
          <w:p>
            <w:r/>
            <w:r>
              <w:rPr>
                <w:rFonts w:ascii="Calibri" w:hAnsi="Calibri"/>
                <w:sz w:val="18"/>
              </w:rPr>
              <w:t>PENDING</w:t>
            </w:r>
          </w:p>
        </w:tc>
      </w:tr>
      <w:tr>
        <w:tc>
          <w:tcPr>
            <w:tcW w:type="dxa" w:w="1656"/>
            <w:tcBorders>
              <w:top w:val="single" w:sz="4" w:color="BFBFBF"/>
              <w:left w:val="single" w:sz="4" w:color="BFBFBF"/>
              <w:bottom w:val="single" w:sz="4" w:color="BFBFBF"/>
              <w:right w:val="single" w:sz="4" w:color="BFBFBF"/>
            </w:tcBorders>
            <w:vAlign w:val="top"/>
          </w:tcPr>
          <w:p>
            <w:r/>
            <w:r>
              <w:rPr>
                <w:rFonts w:ascii="Calibri" w:hAnsi="Calibri"/>
                <w:sz w:val="18"/>
              </w:rPr>
              <w:t>Cash floor</w:t>
            </w:r>
          </w:p>
        </w:tc>
        <w:tc>
          <w:tcPr>
            <w:tcW w:type="dxa" w:w="2880"/>
            <w:tcBorders>
              <w:top w:val="single" w:sz="4" w:color="BFBFBF"/>
              <w:left w:val="single" w:sz="4" w:color="BFBFBF"/>
              <w:bottom w:val="single" w:sz="4" w:color="BFBFBF"/>
              <w:right w:val="single" w:sz="4" w:color="BFBFBF"/>
            </w:tcBorders>
            <w:vAlign w:val="top"/>
          </w:tcPr>
          <w:p>
            <w:r/>
            <w:r>
              <w:rPr>
                <w:rFonts w:ascii="Calibri" w:hAnsi="Calibri"/>
                <w:sz w:val="18"/>
              </w:rPr>
              <w:t>10.0% (IPS)</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Held at 15.0% — 5.0% above floor</w:t>
            </w:r>
          </w:p>
        </w:tc>
        <w:tc>
          <w:tcPr>
            <w:tcW w:type="dxa" w:w="1368"/>
            <w:tcBorders>
              <w:top w:val="single" w:sz="4" w:color="BFBFBF"/>
              <w:left w:val="single" w:sz="4" w:color="BFBFBF"/>
              <w:bottom w:val="single" w:sz="4" w:color="BFBFBF"/>
              <w:right w:val="single" w:sz="4" w:color="BFBFBF"/>
            </w:tcBorders>
            <w:vAlign w:val="top"/>
          </w:tcPr>
          <w:p>
            <w:r/>
            <w:r>
              <w:rPr>
                <w:rFonts w:ascii="Calibri" w:hAnsi="Calibri"/>
                <w:sz w:val="18"/>
              </w:rPr>
              <w:t>HOLD</w:t>
            </w:r>
          </w:p>
        </w:tc>
      </w:tr>
      <w:tr>
        <w:tc>
          <w:tcPr>
            <w:tcW w:type="dxa" w:w="1656"/>
            <w:tcBorders>
              <w:top w:val="single" w:sz="4" w:color="BFBFBF"/>
              <w:left w:val="single" w:sz="4" w:color="BFBFBF"/>
              <w:bottom w:val="single" w:sz="4" w:color="BFBFBF"/>
              <w:right w:val="single" w:sz="4" w:color="BFBFBF"/>
            </w:tcBorders>
            <w:vAlign w:val="top"/>
          </w:tcPr>
          <w:p>
            <w:r/>
            <w:r>
              <w:rPr>
                <w:rFonts w:ascii="Calibri" w:hAnsi="Calibri"/>
                <w:sz w:val="18"/>
              </w:rPr>
              <w:t>Cash ceiling</w:t>
            </w:r>
          </w:p>
        </w:tc>
        <w:tc>
          <w:tcPr>
            <w:tcW w:type="dxa" w:w="2880"/>
            <w:tcBorders>
              <w:top w:val="single" w:sz="4" w:color="BFBFBF"/>
              <w:left w:val="single" w:sz="4" w:color="BFBFBF"/>
              <w:bottom w:val="single" w:sz="4" w:color="BFBFBF"/>
              <w:right w:val="single" w:sz="4" w:color="BFBFBF"/>
            </w:tcBorders>
            <w:vAlign w:val="top"/>
          </w:tcPr>
          <w:p>
            <w:r/>
            <w:r>
              <w:rPr>
                <w:rFonts w:ascii="Calibri" w:hAnsi="Calibri"/>
                <w:sz w:val="18"/>
              </w:rPr>
              <w:t>20.0% (IPS)</w:t>
            </w:r>
          </w:p>
        </w:tc>
        <w:tc>
          <w:tcPr>
            <w:tcW w:type="dxa" w:w="3744"/>
            <w:tcBorders>
              <w:top w:val="single" w:sz="4" w:color="BFBFBF"/>
              <w:left w:val="single" w:sz="4" w:color="BFBFBF"/>
              <w:bottom w:val="single" w:sz="4" w:color="BFBFBF"/>
              <w:right w:val="single" w:sz="4" w:color="BFBFBF"/>
            </w:tcBorders>
            <w:vAlign w:val="top"/>
          </w:tcPr>
          <w:p>
            <w:r/>
            <w:r>
              <w:rPr>
                <w:rFonts w:ascii="Calibri" w:hAnsi="Calibri"/>
                <w:sz w:val="18"/>
              </w:rPr>
              <w:t>Held at 15.0% — 5.0% below ceiling</w:t>
            </w:r>
          </w:p>
        </w:tc>
        <w:tc>
          <w:tcPr>
            <w:tcW w:type="dxa" w:w="1368"/>
            <w:tcBorders>
              <w:top w:val="single" w:sz="4" w:color="BFBFBF"/>
              <w:left w:val="single" w:sz="4" w:color="BFBFBF"/>
              <w:bottom w:val="single" w:sz="4" w:color="BFBFBF"/>
              <w:right w:val="single" w:sz="4" w:color="BFBFBF"/>
            </w:tcBorders>
            <w:vAlign w:val="top"/>
          </w:tcPr>
          <w:p>
            <w:r/>
            <w:r>
              <w:rPr>
                <w:rFonts w:ascii="Calibri" w:hAnsi="Calibri"/>
                <w:sz w:val="18"/>
              </w:rPr>
              <w:t>HOLD</w:t>
            </w:r>
          </w:p>
        </w:tc>
      </w:tr>
    </w:tbl>
    <w:p>
      <w:pPr>
        <w:spacing w:after="80"/>
      </w:pPr>
      <w:r>
        <w:rPr>
          <w:rFonts w:ascii="Calibri" w:hAnsi="Calibri"/>
          <w:b/>
          <w:color w:val="000000"/>
          <w:sz w:val="20"/>
        </w:rPr>
        <w:t>Rationale.</w:t>
      </w:r>
      <w:r>
        <w:rPr>
          <w:rFonts w:ascii="Calibri" w:hAnsi="Calibri"/>
          <w:sz w:val="20"/>
        </w:rPr>
        <w:t xml:space="preserve"> Hold cash at 15.0% (CONFIRMED). Drawdown-deploy trigger requires a confirmed WTD ≥ –3% cash close; pre-open prints cannot fire it. Pre-positioning into FOMC Jun 16-17 is off-mandate. If today's S&amp;P 500 close finishes ≥ –3.0% WTD AND VIX prints &gt; 25 at the cash close, the IPS path is a staged 1.0% cash → QQQ deploy at the open of the following session, sized so cash does not breach the 10.0% floor on the same-day move.</w:t>
      </w:r>
    </w:p>
    <w:p>
      <w:pPr>
        <w:spacing w:before="160" w:after="80"/>
      </w:pPr>
      <w:r>
        <w:rPr>
          <w:rFonts w:ascii="Calibri" w:hAnsi="Calibri"/>
          <w:b/>
          <w:color w:val="365F91"/>
          <w:sz w:val="28"/>
        </w:rPr>
        <w:t>5. Pending Catalysts — Status Update</w:t>
      </w:r>
    </w:p>
    <w:tbl>
      <w:tblPr>
        <w:tblW w:type="auto" w:w="0"/>
        <w:tblLayout w:type="fixed"/>
        <w:tblLook w:firstColumn="1" w:firstRow="1" w:lastColumn="0" w:lastRow="0" w:noHBand="0" w:noVBand="1" w:val="04A0"/>
      </w:tblPr>
      <w:tblGrid>
        <w:gridCol w:w="2484"/>
        <w:gridCol w:w="2484"/>
        <w:gridCol w:w="2484"/>
        <w:gridCol w:w="2484"/>
      </w:tblGrid>
      <w:tr>
        <w:tc>
          <w:tcPr>
            <w:tcW w:type="dxa" w:w="1440"/>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Date</w:t>
            </w:r>
          </w:p>
        </w:tc>
        <w:tc>
          <w:tcPr>
            <w:tcW w:type="dxa" w:w="3456"/>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Event</w:t>
            </w:r>
          </w:p>
        </w:tc>
        <w:tc>
          <w:tcPr>
            <w:tcW w:type="dxa" w:w="2592"/>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Held Exposure</w:t>
            </w:r>
          </w:p>
        </w:tc>
        <w:tc>
          <w:tcPr>
            <w:tcW w:type="dxa" w:w="2232"/>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Action / Watch</w:t>
            </w:r>
          </w:p>
        </w:tc>
      </w:tr>
      <w:tr>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Sat 6/6</w:t>
            </w:r>
          </w:p>
        </w:tc>
        <w:tc>
          <w:tcPr>
            <w:tcW w:type="dxa" w:w="3456"/>
            <w:tcBorders>
              <w:top w:val="single" w:sz="4" w:color="BFBFBF"/>
              <w:left w:val="single" w:sz="4" w:color="BFBFBF"/>
              <w:bottom w:val="single" w:sz="4" w:color="BFBFBF"/>
              <w:right w:val="single" w:sz="4" w:color="BFBFBF"/>
            </w:tcBorders>
            <w:vAlign w:val="top"/>
          </w:tcPr>
          <w:p>
            <w:r/>
            <w:r>
              <w:rPr>
                <w:rFonts w:ascii="Calibri" w:hAnsi="Calibri"/>
                <w:sz w:val="18"/>
              </w:rPr>
              <w:t>Polymarket WTI June settle re-mark</w:t>
            </w:r>
          </w:p>
        </w:tc>
        <w:tc>
          <w:tcPr>
            <w:tcW w:type="dxa" w:w="2592"/>
            <w:tcBorders>
              <w:top w:val="single" w:sz="4" w:color="BFBFBF"/>
              <w:left w:val="single" w:sz="4" w:color="BFBFBF"/>
              <w:bottom w:val="single" w:sz="4" w:color="BFBFBF"/>
              <w:right w:val="single" w:sz="4" w:color="BFBFBF"/>
            </w:tcBorders>
            <w:vAlign w:val="top"/>
          </w:tcPr>
          <w:p>
            <w:r/>
            <w:r>
              <w:rPr>
                <w:rFonts w:ascii="Calibri" w:hAnsi="Calibri"/>
                <w:sz w:val="18"/>
              </w:rPr>
              <w:t>XOM 3.0% / EOG 2.5%</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Watch for $90 break confirmation</w:t>
            </w:r>
          </w:p>
        </w:tc>
      </w:tr>
      <w:tr>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Sun 6/7</w:t>
            </w:r>
          </w:p>
        </w:tc>
        <w:tc>
          <w:tcPr>
            <w:tcW w:type="dxa" w:w="3456"/>
            <w:tcBorders>
              <w:top w:val="single" w:sz="4" w:color="BFBFBF"/>
              <w:left w:val="single" w:sz="4" w:color="BFBFBF"/>
              <w:bottom w:val="single" w:sz="4" w:color="BFBFBF"/>
              <w:right w:val="single" w:sz="4" w:color="BFBFBF"/>
            </w:tcBorders>
            <w:vAlign w:val="top"/>
          </w:tcPr>
          <w:p>
            <w:r/>
            <w:r>
              <w:rPr>
                <w:rFonts w:ascii="Calibri" w:hAnsi="Calibri"/>
                <w:sz w:val="18"/>
              </w:rPr>
              <w:t>OPEC+ meeting</w:t>
            </w:r>
          </w:p>
        </w:tc>
        <w:tc>
          <w:tcPr>
            <w:tcW w:type="dxa" w:w="2592"/>
            <w:tcBorders>
              <w:top w:val="single" w:sz="4" w:color="BFBFBF"/>
              <w:left w:val="single" w:sz="4" w:color="BFBFBF"/>
              <w:bottom w:val="single" w:sz="4" w:color="BFBFBF"/>
              <w:right w:val="single" w:sz="4" w:color="BFBFBF"/>
            </w:tcBorders>
            <w:vAlign w:val="top"/>
          </w:tcPr>
          <w:p>
            <w:r/>
            <w:r>
              <w:rPr>
                <w:rFonts w:ascii="Calibri" w:hAnsi="Calibri"/>
                <w:sz w:val="18"/>
              </w:rPr>
              <w:t>XOM 3.0% / EOG 2.5%</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Production-guide read; trim path live</w:t>
            </w:r>
          </w:p>
        </w:tc>
      </w:tr>
      <w:tr>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Wed 6/10 AMC</w:t>
            </w:r>
          </w:p>
        </w:tc>
        <w:tc>
          <w:tcPr>
            <w:tcW w:type="dxa" w:w="3456"/>
            <w:tcBorders>
              <w:top w:val="single" w:sz="4" w:color="BFBFBF"/>
              <w:left w:val="single" w:sz="4" w:color="BFBFBF"/>
              <w:bottom w:val="single" w:sz="4" w:color="BFBFBF"/>
              <w:right w:val="single" w:sz="4" w:color="BFBFBF"/>
            </w:tcBorders>
            <w:vAlign w:val="top"/>
          </w:tcPr>
          <w:p>
            <w:r/>
            <w:r>
              <w:rPr>
                <w:rFonts w:ascii="Calibri" w:hAnsi="Calibri"/>
                <w:sz w:val="18"/>
              </w:rPr>
              <w:t>ORCL Q4 FY26 earnings (cons. EPS ~$1.88-$1.96)</w:t>
            </w:r>
          </w:p>
        </w:tc>
        <w:tc>
          <w:tcPr>
            <w:tcW w:type="dxa" w:w="2592"/>
            <w:tcBorders>
              <w:top w:val="single" w:sz="4" w:color="BFBFBF"/>
              <w:left w:val="single" w:sz="4" w:color="BFBFBF"/>
              <w:bottom w:val="single" w:sz="4" w:color="BFBFBF"/>
              <w:right w:val="single" w:sz="4" w:color="BFBFBF"/>
            </w:tcBorders>
            <w:vAlign w:val="top"/>
          </w:tcPr>
          <w:p>
            <w:r/>
            <w:r>
              <w:rPr>
                <w:rFonts w:ascii="Calibri" w:hAnsi="Calibri"/>
                <w:sz w:val="18"/>
              </w:rPr>
              <w:t>ORCL 3.0%</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Reactive on the print; no pre-positioning</w:t>
            </w:r>
          </w:p>
        </w:tc>
      </w:tr>
      <w:tr>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Tue-Wed 6/16-17</w:t>
            </w:r>
          </w:p>
        </w:tc>
        <w:tc>
          <w:tcPr>
            <w:tcW w:type="dxa" w:w="3456"/>
            <w:tcBorders>
              <w:top w:val="single" w:sz="4" w:color="BFBFBF"/>
              <w:left w:val="single" w:sz="4" w:color="BFBFBF"/>
              <w:bottom w:val="single" w:sz="4" w:color="BFBFBF"/>
              <w:right w:val="single" w:sz="4" w:color="BFBFBF"/>
            </w:tcBorders>
            <w:vAlign w:val="top"/>
          </w:tcPr>
          <w:p>
            <w:r/>
            <w:r>
              <w:rPr>
                <w:rFonts w:ascii="Calibri" w:hAnsi="Calibri"/>
                <w:sz w:val="18"/>
              </w:rPr>
              <w:t>FOMC under Chair Warsh — first decision</w:t>
            </w:r>
          </w:p>
        </w:tc>
        <w:tc>
          <w:tcPr>
            <w:tcW w:type="dxa" w:w="2592"/>
            <w:tcBorders>
              <w:top w:val="single" w:sz="4" w:color="BFBFBF"/>
              <w:left w:val="single" w:sz="4" w:color="BFBFBF"/>
              <w:bottom w:val="single" w:sz="4" w:color="BFBFBF"/>
              <w:right w:val="single" w:sz="4" w:color="BFBFBF"/>
            </w:tcBorders>
            <w:vAlign w:val="top"/>
          </w:tcPr>
          <w:p>
            <w:r/>
            <w:r>
              <w:rPr>
                <w:rFonts w:ascii="Calibri" w:hAnsi="Calibri"/>
                <w:sz w:val="18"/>
              </w:rPr>
              <w:t>Full book</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Duration / dot-plot read; reactive only</w:t>
            </w:r>
          </w:p>
        </w:tc>
      </w:tr>
      <w:tr>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Open</w:t>
            </w:r>
          </w:p>
        </w:tc>
        <w:tc>
          <w:tcPr>
            <w:tcW w:type="dxa" w:w="3456"/>
            <w:tcBorders>
              <w:top w:val="single" w:sz="4" w:color="BFBFBF"/>
              <w:left w:val="single" w:sz="4" w:color="BFBFBF"/>
              <w:bottom w:val="single" w:sz="4" w:color="BFBFBF"/>
              <w:right w:val="single" w:sz="4" w:color="BFBFBF"/>
            </w:tcBorders>
            <w:vAlign w:val="top"/>
          </w:tcPr>
          <w:p>
            <w:r/>
            <w:r>
              <w:rPr>
                <w:rFonts w:ascii="Calibri" w:hAnsi="Calibri"/>
                <w:sz w:val="18"/>
              </w:rPr>
              <w:t>UNH tracker carry-value reconciliation (8th session)</w:t>
            </w:r>
          </w:p>
        </w:tc>
        <w:tc>
          <w:tcPr>
            <w:tcW w:type="dxa" w:w="2592"/>
            <w:tcBorders>
              <w:top w:val="single" w:sz="4" w:color="BFBFBF"/>
              <w:left w:val="single" w:sz="4" w:color="BFBFBF"/>
              <w:bottom w:val="single" w:sz="4" w:color="BFBFBF"/>
              <w:right w:val="single" w:sz="4" w:color="BFBFBF"/>
            </w:tcBorders>
            <w:vAlign w:val="top"/>
          </w:tcPr>
          <w:p>
            <w:r/>
            <w:r>
              <w:rPr>
                <w:rFonts w:ascii="Calibri" w:hAnsi="Calibri"/>
                <w:sz w:val="18"/>
              </w:rPr>
              <w:t>UNH 3.0%</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Resolve at next quarterly mark</w:t>
            </w:r>
          </w:p>
        </w:tc>
      </w:tr>
      <w:tr>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Open</w:t>
            </w:r>
          </w:p>
        </w:tc>
        <w:tc>
          <w:tcPr>
            <w:tcW w:type="dxa" w:w="3456"/>
            <w:tcBorders>
              <w:top w:val="single" w:sz="4" w:color="BFBFBF"/>
              <w:left w:val="single" w:sz="4" w:color="BFBFBF"/>
              <w:bottom w:val="single" w:sz="4" w:color="BFBFBF"/>
              <w:right w:val="single" w:sz="4" w:color="BFBFBF"/>
            </w:tcBorders>
            <w:vAlign w:val="top"/>
          </w:tcPr>
          <w:p>
            <w:r/>
            <w:r>
              <w:rPr>
                <w:rFonts w:ascii="Calibri" w:hAnsi="Calibri"/>
                <w:sz w:val="18"/>
              </w:rPr>
              <w:t>Tech sector-label reconciliation (AMZN tag)</w:t>
            </w:r>
          </w:p>
        </w:tc>
        <w:tc>
          <w:tcPr>
            <w:tcW w:type="dxa" w:w="2592"/>
            <w:tcBorders>
              <w:top w:val="single" w:sz="4" w:color="BFBFBF"/>
              <w:left w:val="single" w:sz="4" w:color="BFBFBF"/>
              <w:bottom w:val="single" w:sz="4" w:color="BFBFBF"/>
              <w:right w:val="single" w:sz="4" w:color="BFBFBF"/>
            </w:tcBorders>
            <w:vAlign w:val="top"/>
          </w:tcPr>
          <w:p>
            <w:r/>
            <w:r>
              <w:rPr>
                <w:rFonts w:ascii="Calibri" w:hAnsi="Calibri"/>
                <w:sz w:val="18"/>
              </w:rPr>
              <w:t>Tech 33.5% GICS / 39.0% tracker-label</w:t>
            </w:r>
          </w:p>
        </w:tc>
        <w:tc>
          <w:tcPr>
            <w:tcW w:type="dxa" w:w="2232"/>
            <w:tcBorders>
              <w:top w:val="single" w:sz="4" w:color="BFBFBF"/>
              <w:left w:val="single" w:sz="4" w:color="BFBFBF"/>
              <w:bottom w:val="single" w:sz="4" w:color="BFBFBF"/>
              <w:right w:val="single" w:sz="4" w:color="BFBFBF"/>
            </w:tcBorders>
            <w:vAlign w:val="top"/>
          </w:tcPr>
          <w:p>
            <w:r/>
            <w:r>
              <w:rPr>
                <w:rFonts w:ascii="Calibri" w:hAnsi="Calibri"/>
                <w:sz w:val="18"/>
              </w:rPr>
              <w:t>Manager confirmation required</w:t>
            </w:r>
          </w:p>
        </w:tc>
      </w:tr>
    </w:tbl>
    <w:p>
      <w:pPr>
        <w:spacing w:before="160" w:after="80"/>
      </w:pPr>
      <w:r>
        <w:rPr>
          <w:rFonts w:ascii="Calibri" w:hAnsi="Calibri"/>
          <w:b/>
          <w:color w:val="365F91"/>
          <w:sz w:val="28"/>
        </w:rPr>
        <w:t>6. Recommended Weight Changes (today)</w:t>
      </w:r>
    </w:p>
    <w:p>
      <w:pPr>
        <w:spacing w:after="80"/>
      </w:pPr>
      <w:r>
        <w:rPr>
          <w:rFonts w:ascii="Calibri" w:hAnsi="Calibri"/>
          <w:b/>
          <w:color w:val="000000"/>
          <w:sz w:val="20"/>
        </w:rPr>
        <w:t>No weight changes today.</w:t>
      </w:r>
      <w:r>
        <w:rPr>
          <w:rFonts w:ascii="Calibri" w:hAnsi="Calibri"/>
          <w:sz w:val="20"/>
        </w:rPr>
        <w:t xml:space="preserve"> None. Hold 27 positions + 15.0% cash at current target weights (CONFIRMED). Drawdown-deploy and energy-trim triggers are pending the cash close. Two open FLAGs (UNH carry-value, Tech sector label) require manager input before any taxonomy-driven trade. All recommendations remain inside IPS hard limits: single ≤7.0% (NVDA 6.5% at cap, no add room), sector ≤35.0% (Tech 33.5% under GICS), cash 10-20% (held 15.0%), no leverage / options / shorts.</w:t>
      </w:r>
    </w:p>
    <w:p>
      <w:pPr>
        <w:spacing w:before="160" w:after="80"/>
      </w:pPr>
      <w:r>
        <w:rPr>
          <w:rFonts w:ascii="Calibri" w:hAnsi="Calibri"/>
          <w:b/>
          <w:color w:val="365F91"/>
          <w:sz w:val="28"/>
        </w:rPr>
        <w:t>7. Full Portfolio Table — 27 Positions + Cash</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576"/>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w:t>
            </w:r>
          </w:p>
        </w:tc>
        <w:tc>
          <w:tcPr>
            <w:tcW w:type="dxa" w:w="1152"/>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Ticker</w:t>
            </w:r>
          </w:p>
        </w:tc>
        <w:tc>
          <w:tcPr>
            <w:tcW w:type="dxa" w:w="3888"/>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Sector</w:t>
            </w:r>
          </w:p>
        </w:tc>
        <w:tc>
          <w:tcPr>
            <w:tcW w:type="dxa" w:w="1296"/>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Weight %</w:t>
            </w:r>
          </w:p>
        </w:tc>
        <w:tc>
          <w:tcPr>
            <w:tcW w:type="dxa" w:w="1440"/>
            <w:shd w:val="clear" w:color="auto" w:fill="1F4E79"/>
            <w:tcBorders>
              <w:top w:val="single" w:sz="4" w:color="BFBFBF"/>
              <w:left w:val="single" w:sz="4" w:color="BFBFBF"/>
              <w:bottom w:val="single" w:sz="4" w:color="BFBFBF"/>
              <w:right w:val="single" w:sz="4" w:color="BFBFBF"/>
            </w:tcBorders>
            <w:vAlign w:val="center"/>
          </w:tcPr>
          <w:p>
            <w:r/>
            <w:r>
              <w:rPr>
                <w:rFonts w:ascii="Calibri" w:hAnsi="Calibri"/>
                <w:b/>
                <w:color w:val="FFFFFF"/>
                <w:sz w:val="20"/>
              </w:rPr>
              <w:t>Tag</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NVDA</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AI Infrastructure</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6.5%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AMZN</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Cloud / E-Commerce</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5.5%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3</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META</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Communication Services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4.5%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4</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LLY</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Healthcare – Pharma</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4.5%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5</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JPM</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Financials – Banking</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4.5%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6</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AVGO</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Semiconductors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4.0%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7</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MSFT</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Enterprise SW</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4.0%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8</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PANW</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Cybersecurity</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4.0%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9</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QQQ</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ETF – Nasdaq-100</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10</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ORCL</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Cloud DB</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11</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GOOGL</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Search / Cloud</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12</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PLTR</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AI Software</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13</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UNH</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Healthcare – Managed Care</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14</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XOM</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Energy – Integrated Oil &amp; Gas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15</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V</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Financials – Payments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16</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TSM</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Foundry</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3.0%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17</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MU</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Memory</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18</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EOG</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Energy – E&amp;P</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19</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COST</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Consumer Staples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20</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VUG</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ETF – Large-Cap Growth</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21</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SCHD</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ETF – Dividend / Income</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22</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DASH</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Consumer Discretionary</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23</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NEE</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Utilities – Renewables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2.0%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24</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ABBV</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Healthcare – Biotech / Pharma</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1.5%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25</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NFLX</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Communication Services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1.5%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26</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CRWD</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Cybersecurity</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1.5%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27</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INTC</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Technology – Semiconductors</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1.5%</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r>
        <w:tc>
          <w:tcPr>
            <w:tcW w:type="dxa" w:w="576"/>
            <w:tcBorders>
              <w:top w:val="single" w:sz="4" w:color="BFBFBF"/>
              <w:left w:val="single" w:sz="4" w:color="BFBFBF"/>
              <w:bottom w:val="single" w:sz="4" w:color="BFBFBF"/>
              <w:right w:val="single" w:sz="4" w:color="BFBFBF"/>
            </w:tcBorders>
            <w:vAlign w:val="top"/>
          </w:tcPr>
          <w:p>
            <w:r/>
            <w:r>
              <w:rPr>
                <w:rFonts w:ascii="Calibri" w:hAnsi="Calibri"/>
                <w:sz w:val="18"/>
              </w:rPr>
              <w:t>—</w:t>
            </w:r>
          </w:p>
        </w:tc>
        <w:tc>
          <w:tcPr>
            <w:tcW w:type="dxa" w:w="1152"/>
            <w:tcBorders>
              <w:top w:val="single" w:sz="4" w:color="BFBFBF"/>
              <w:left w:val="single" w:sz="4" w:color="BFBFBF"/>
              <w:bottom w:val="single" w:sz="4" w:color="BFBFBF"/>
              <w:right w:val="single" w:sz="4" w:color="BFBFBF"/>
            </w:tcBorders>
            <w:vAlign w:val="top"/>
          </w:tcPr>
          <w:p>
            <w:r/>
            <w:r>
              <w:rPr>
                <w:rFonts w:ascii="Calibri" w:hAnsi="Calibri"/>
                <w:sz w:val="18"/>
              </w:rPr>
              <w:t>CASH</w:t>
            </w:r>
          </w:p>
        </w:tc>
        <w:tc>
          <w:tcPr>
            <w:tcW w:type="dxa" w:w="3888"/>
            <w:tcBorders>
              <w:top w:val="single" w:sz="4" w:color="BFBFBF"/>
              <w:left w:val="single" w:sz="4" w:color="BFBFBF"/>
              <w:bottom w:val="single" w:sz="4" w:color="BFBFBF"/>
              <w:right w:val="single" w:sz="4" w:color="BFBFBF"/>
            </w:tcBorders>
            <w:vAlign w:val="top"/>
          </w:tcPr>
          <w:p>
            <w:r/>
            <w:r>
              <w:rPr>
                <w:rFonts w:ascii="Calibri" w:hAnsi="Calibri"/>
                <w:sz w:val="18"/>
              </w:rPr>
              <w:t>Cash / MMF Reserve</w:t>
            </w:r>
          </w:p>
        </w:tc>
        <w:tc>
          <w:tcPr>
            <w:tcW w:type="dxa" w:w="1296"/>
            <w:tcBorders>
              <w:top w:val="single" w:sz="4" w:color="BFBFBF"/>
              <w:left w:val="single" w:sz="4" w:color="BFBFBF"/>
              <w:bottom w:val="single" w:sz="4" w:color="BFBFBF"/>
              <w:right w:val="single" w:sz="4" w:color="BFBFBF"/>
            </w:tcBorders>
            <w:vAlign w:val="top"/>
          </w:tcPr>
          <w:p>
            <w:r/>
            <w:r>
              <w:rPr>
                <w:rFonts w:ascii="Consolas" w:hAnsi="Consolas"/>
                <w:sz w:val="18"/>
              </w:rPr>
              <w:t>15.0%</w:t>
            </w:r>
          </w:p>
        </w:tc>
        <w:tc>
          <w:tcPr>
            <w:tcW w:type="dxa" w:w="1440"/>
            <w:tcBorders>
              <w:top w:val="single" w:sz="4" w:color="BFBFBF"/>
              <w:left w:val="single" w:sz="4" w:color="BFBFBF"/>
              <w:bottom w:val="single" w:sz="4" w:color="BFBFBF"/>
              <w:right w:val="single" w:sz="4" w:color="BFBFBF"/>
            </w:tcBorders>
            <w:vAlign w:val="top"/>
          </w:tcPr>
          <w:p>
            <w:r/>
            <w:r>
              <w:rPr>
                <w:rFonts w:ascii="Calibri" w:hAnsi="Calibri"/>
                <w:sz w:val="18"/>
              </w:rPr>
              <w:t>CONFIRMED</w:t>
            </w:r>
          </w:p>
        </w:tc>
      </w:tr>
    </w:tbl>
    <w:p>
      <w:pPr>
        <w:spacing w:before="80"/>
      </w:pPr>
      <w:r>
        <w:rPr>
          <w:rFonts w:ascii="Calibri" w:hAnsi="Calibri"/>
          <w:b/>
          <w:color w:val="0B6E3D"/>
          <w:sz w:val="20"/>
        </w:rPr>
        <w:t>Portfolio sum verified: 100.0% = 100.0% ✓</w:t>
      </w:r>
    </w:p>
    <w:p>
      <w:pPr>
        <w:spacing w:before="160" w:after="80"/>
      </w:pPr>
      <w:r>
        <w:rPr>
          <w:rFonts w:ascii="Calibri" w:hAnsi="Calibri"/>
          <w:b/>
          <w:color w:val="365F91"/>
          <w:sz w:val="28"/>
        </w:rPr>
        <w:t>8. Sources &amp; Methodology</w:t>
      </w:r>
    </w:p>
    <w:p>
      <w:pPr>
        <w:pStyle w:val="ListBullet"/>
        <w:spacing w:after="40"/>
      </w:pPr>
      <w:r>
        <w:rPr>
          <w:rFonts w:ascii="Calibri" w:hAnsi="Calibri"/>
          <w:b/>
          <w:sz w:val="18"/>
        </w:rPr>
        <w:t xml:space="preserve">BLS Employment Situation 2026-M05 (Jun 5, 2026) — </w:t>
      </w:r>
      <w:r>
        <w:rPr>
          <w:rFonts w:ascii="Calibri" w:hAnsi="Calibri"/>
          <w:sz w:val="18"/>
        </w:rPr>
        <w:t>May NFP, unemployment, revisions, hourly earnings.</w:t>
      </w:r>
    </w:p>
    <w:p>
      <w:pPr>
        <w:pStyle w:val="ListBullet"/>
        <w:spacing w:after="40"/>
      </w:pPr>
      <w:r>
        <w:rPr>
          <w:rFonts w:ascii="Calibri" w:hAnsi="Calibri"/>
          <w:b/>
          <w:sz w:val="18"/>
        </w:rPr>
        <w:t xml:space="preserve">CNBC / TheStreet / Motley Fool (Jun 4-5, 2026) — </w:t>
      </w:r>
      <w:r>
        <w:rPr>
          <w:rFonts w:ascii="Calibri" w:hAnsi="Calibri"/>
          <w:sz w:val="18"/>
        </w:rPr>
        <w:t>S&amp;P / Nasdaq / Dow closes and Fri 6/5 intraday prints.</w:t>
      </w:r>
    </w:p>
    <w:p>
      <w:pPr>
        <w:pStyle w:val="ListBullet"/>
        <w:spacing w:after="40"/>
      </w:pPr>
      <w:r>
        <w:rPr>
          <w:rFonts w:ascii="Calibri" w:hAnsi="Calibri"/>
          <w:b/>
          <w:sz w:val="18"/>
        </w:rPr>
        <w:t xml:space="preserve">CNBC US10Y / Trading Economics (Jun 5, 2026) — </w:t>
      </w:r>
      <w:r>
        <w:rPr>
          <w:rFonts w:ascii="Calibri" w:hAnsi="Calibri"/>
          <w:sz w:val="18"/>
        </w:rPr>
        <w:t>10Y and 30Y UST yield moves.</w:t>
      </w:r>
    </w:p>
    <w:p>
      <w:pPr>
        <w:pStyle w:val="ListBullet"/>
        <w:spacing w:after="40"/>
      </w:pPr>
      <w:r>
        <w:rPr>
          <w:rFonts w:ascii="Calibri" w:hAnsi="Calibri"/>
          <w:b/>
          <w:sz w:val="18"/>
        </w:rPr>
        <w:t xml:space="preserve">Broadcom 8-K &amp; earnings transcript (Jun 3, 2026) — </w:t>
      </w:r>
      <w:r>
        <w:rPr>
          <w:rFonts w:ascii="Calibri" w:hAnsi="Calibri"/>
          <w:sz w:val="18"/>
        </w:rPr>
        <w:t>AVGO Q2 FY26 results and Q3/FY26 AI guide.</w:t>
      </w:r>
    </w:p>
    <w:p>
      <w:pPr>
        <w:pStyle w:val="ListBullet"/>
        <w:spacing w:after="40"/>
      </w:pPr>
      <w:r>
        <w:rPr>
          <w:rFonts w:ascii="Calibri" w:hAnsi="Calibri"/>
          <w:b/>
          <w:sz w:val="18"/>
        </w:rPr>
        <w:t xml:space="preserve">CrowdStrike 8-K (Jun 3, 2026) — </w:t>
      </w:r>
      <w:r>
        <w:rPr>
          <w:rFonts w:ascii="Calibri" w:hAnsi="Calibri"/>
          <w:sz w:val="18"/>
        </w:rPr>
        <w:t>CRWD Q1 FY27 results; FY ARR raise; 4-for-1 split.</w:t>
      </w:r>
    </w:p>
    <w:p>
      <w:pPr>
        <w:pStyle w:val="ListBullet"/>
        <w:spacing w:after="40"/>
      </w:pPr>
      <w:r>
        <w:rPr>
          <w:rFonts w:ascii="Calibri" w:hAnsi="Calibri"/>
          <w:b/>
          <w:sz w:val="18"/>
        </w:rPr>
        <w:t xml:space="preserve">Costco 8-K &amp; Stocktitan (May 28, 2026) — </w:t>
      </w:r>
      <w:r>
        <w:rPr>
          <w:rFonts w:ascii="Calibri" w:hAnsi="Calibri"/>
          <w:sz w:val="18"/>
        </w:rPr>
        <w:t>COST Q3 FY26 results.</w:t>
      </w:r>
    </w:p>
    <w:p>
      <w:pPr>
        <w:pStyle w:val="ListBullet"/>
        <w:spacing w:after="40"/>
      </w:pPr>
      <w:r>
        <w:rPr>
          <w:rFonts w:ascii="Calibri" w:hAnsi="Calibri"/>
          <w:b/>
          <w:sz w:val="18"/>
        </w:rPr>
        <w:t xml:space="preserve">Yahoo / Robinhood (Jun 5, 2026) — </w:t>
      </w:r>
      <w:r>
        <w:rPr>
          <w:rFonts w:ascii="Calibri" w:hAnsi="Calibri"/>
          <w:sz w:val="18"/>
        </w:rPr>
        <w:t>NVDA, MU, MSFT intraday prints.</w:t>
      </w:r>
    </w:p>
    <w:p>
      <w:pPr>
        <w:pStyle w:val="ListBullet"/>
        <w:spacing w:after="40"/>
      </w:pPr>
      <w:r>
        <w:rPr>
          <w:rFonts w:ascii="Calibri" w:hAnsi="Calibri"/>
          <w:b/>
          <w:sz w:val="18"/>
        </w:rPr>
        <w:t xml:space="preserve">FX Daily Report / Trading Economics / Polymarket (Jun 4-5, 2026) — </w:t>
      </w:r>
      <w:r>
        <w:rPr>
          <w:rFonts w:ascii="Calibri" w:hAnsi="Calibri"/>
          <w:sz w:val="18"/>
        </w:rPr>
        <w:t>WTI level and OPEC+ Jun 7 setup.</w:t>
      </w:r>
    </w:p>
    <w:p>
      <w:pPr>
        <w:pStyle w:val="ListBullet"/>
        <w:spacing w:after="40"/>
      </w:pPr>
      <w:r>
        <w:rPr>
          <w:rFonts w:ascii="Calibri" w:hAnsi="Calibri"/>
          <w:b/>
          <w:sz w:val="18"/>
        </w:rPr>
        <w:t xml:space="preserve">WM_Growth_Portfolio_Apr2026.xlsx — Portfolio Overview sheet (CONFIRMED) — </w:t>
      </w:r>
      <w:r>
        <w:rPr>
          <w:rFonts w:ascii="Calibri" w:hAnsi="Calibri"/>
          <w:sz w:val="18"/>
        </w:rPr>
        <w:t>Position weights and cash band.</w:t>
      </w:r>
    </w:p>
    <w:p>
      <w:pPr>
        <w:pStyle w:val="ListBullet"/>
        <w:spacing w:after="40"/>
      </w:pPr>
      <w:r>
        <w:rPr>
          <w:rFonts w:ascii="Calibri" w:hAnsi="Calibri"/>
          <w:b/>
          <w:sz w:val="18"/>
        </w:rPr>
        <w:t xml:space="preserve">WM_Growth_Portfolio_IPS_v1.0.docx — </w:t>
      </w:r>
      <w:r>
        <w:rPr>
          <w:rFonts w:ascii="Calibri" w:hAnsi="Calibri"/>
          <w:sz w:val="18"/>
        </w:rPr>
        <w:t>Hard limits — single 7.0%, sector 35.0%, cash 10-20%, no leverage.</w:t>
      </w:r>
    </w:p>
    <w:p>
      <w:pPr>
        <w:spacing w:after="80"/>
      </w:pPr>
      <w:r>
        <w:rPr>
          <w:rFonts w:ascii="Calibri" w:hAnsi="Calibri"/>
          <w:b/>
          <w:color w:val="000000"/>
          <w:sz w:val="20"/>
        </w:rPr>
        <w:t>Methodology.</w:t>
      </w:r>
      <w:r>
        <w:rPr>
          <w:rFonts w:ascii="Calibri" w:hAnsi="Calibri"/>
          <w:sz w:val="20"/>
        </w:rPr>
        <w:t xml:space="preserve"> All prices and macro figures are SOURCED at write time. Portfolio weights and cash band are CONFIRMED from the tracker's Portfolio Overview sheet. No CALIBRATED figures appear in this report. Provenance tags follow IPS §7 and report_standards.md (updated 2026-05-07).</w:t>
      </w:r>
    </w:p>
    <w:p>
      <w:pPr>
        <w:spacing w:before="160"/>
      </w:pPr>
      <w:r>
        <w:rPr>
          <w:rFonts w:ascii="Calibri" w:hAnsi="Calibri"/>
          <w:i/>
          <w:color w:val="777777"/>
          <w:sz w:val="16"/>
        </w:rPr>
        <w:t>Disclaimer: For internal portfolio-management use only. Not investment advice. Past performance is not indicative of future results. Figures reflect intraday prints retrieved at the time of writing and may shift before the cash close.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