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79"/>
          <w:sz w:val="36"/>
        </w:rPr>
        <w:t>DAILY PRE-MARKET PORTFOLIO REPORT</w:t>
      </w:r>
    </w:p>
    <w:p>
      <w:pPr>
        <w:spacing w:after="40"/>
        <w:jc w:val="center"/>
      </w:pPr>
      <w:r>
        <w:rPr>
          <w:rFonts w:ascii="Calibri" w:hAnsi="Calibri"/>
          <w:i/>
          <w:sz w:val="22"/>
        </w:rPr>
        <w:t>Long-Term Growth Portfolio  |  Active Wealth Management</w:t>
      </w:r>
    </w:p>
    <w:p>
      <w:pPr>
        <w:spacing w:after="120"/>
        <w:jc w:val="center"/>
      </w:pPr>
      <w:r>
        <w:rPr>
          <w:rFonts w:ascii="Calibri" w:hAnsi="Calibri"/>
          <w:color w:val="555555"/>
          <w:sz w:val="20"/>
        </w:rPr>
        <w:t>Report Date: Monday, June 8, 2026  |  Benchmark: S&amp;P 500  |  Horizon: Long-Term Growth</w:t>
      </w:r>
    </w:p>
    <w:p>
      <w:pPr>
        <w:spacing w:before="160" w:after="60"/>
      </w:pPr>
      <w:r>
        <w:rPr>
          <w:rFonts w:ascii="Calibri" w:hAnsi="Calibri"/>
          <w:b/>
          <w:color w:val="365F91"/>
          <w:sz w:val="28"/>
        </w:rPr>
        <w:t>1. Market Snapshot — Pre-Market / Intraday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23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Indicator</w:t>
            </w:r>
          </w:p>
        </w:tc>
        <w:tc>
          <w:tcPr>
            <w:tcW w:type="dxa" w:w="12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08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Change</w:t>
            </w:r>
          </w:p>
        </w:tc>
        <w:tc>
          <w:tcPr>
            <w:tcW w:type="dxa" w:w="374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Note</w:t>
            </w:r>
          </w:p>
        </w:tc>
        <w:tc>
          <w:tcPr>
            <w:tcW w:type="dxa" w:w="12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Tag</w:t>
            </w:r>
          </w:p>
        </w:tc>
      </w:tr>
      <w:tr>
        <w:tc>
          <w:tcPr>
            <w:tcW w:type="dxa" w:w="22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S&amp;P 500 (Fri 6/5 close)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7,383.74</w:t>
            </w:r>
          </w:p>
        </w:tc>
        <w:tc>
          <w:tcPr>
            <w:tcW w:type="dxa" w:w="1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-2.64%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Worst session since October; post-NFP yield shock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SOURCED</w:t>
            </w:r>
          </w:p>
        </w:tc>
      </w:tr>
      <w:tr>
        <w:tc>
          <w:tcPr>
            <w:tcW w:type="dxa" w:w="22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Nasdaq Comp. (Fri 6/5 close)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25,709.43</w:t>
            </w:r>
          </w:p>
        </w:tc>
        <w:tc>
          <w:tcPr>
            <w:tcW w:type="dxa" w:w="1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-4.18%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Worst since Apr 2025; chip-led rout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SOURCED</w:t>
            </w:r>
          </w:p>
        </w:tc>
      </w:tr>
      <w:tr>
        <w:tc>
          <w:tcPr>
            <w:tcW w:type="dxa" w:w="22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S&amp;P 500 e-mini (Mon 6/8 pre)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-0.4%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Futures soft into the open; chips firming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SOURCED</w:t>
            </w:r>
          </w:p>
        </w:tc>
      </w:tr>
      <w:tr>
        <w:tc>
          <w:tcPr>
            <w:tcW w:type="dxa" w:w="22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Nasdaq-100 fut. (Mon 6/8 pre)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—</w:t>
            </w:r>
          </w:p>
        </w:tc>
        <w:tc>
          <w:tcPr>
            <w:tcW w:type="dxa" w:w="1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-0.6%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MU +~10% pre-mkt; semi rebound attempt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SOURCED</w:t>
            </w:r>
          </w:p>
        </w:tc>
      </w:tr>
      <w:tr>
        <w:tc>
          <w:tcPr>
            <w:tcW w:type="dxa" w:w="22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10Y UST Yield (Fri 6/5)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4.534%</w:t>
            </w:r>
          </w:p>
        </w:tc>
        <w:tc>
          <w:tcPr>
            <w:tcW w:type="dxa" w:w="1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+5 bp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Highest since May 21 on hot NFP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SOURCED</w:t>
            </w:r>
          </w:p>
        </w:tc>
      </w:tr>
      <w:tr>
        <w:tc>
          <w:tcPr>
            <w:tcW w:type="dxa" w:w="22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WTI Crude (Mon 6/8)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~$93.50</w:t>
            </w:r>
          </w:p>
        </w:tc>
        <w:tc>
          <w:tcPr>
            <w:tcW w:type="dxa" w:w="1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+~3.3%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OPEC+ +188k bpd offset by Israel-Iran strikes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SOURCED</w:t>
            </w:r>
          </w:p>
        </w:tc>
      </w:tr>
      <w:tr>
        <w:tc>
          <w:tcPr>
            <w:tcW w:type="dxa" w:w="223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Fed funds target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3.50-3.75%</w:t>
            </w:r>
          </w:p>
        </w:tc>
        <w:tc>
          <w:tcPr>
            <w:tcW w:type="dxa" w:w="1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unch</w:t>
            </w:r>
          </w:p>
        </w:tc>
        <w:tc>
          <w:tcPr>
            <w:tcW w:type="dxa" w:w="374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FOMC Jun 16-17 (first under Chair Warsh)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SOURCED</w:t>
            </w:r>
          </w:p>
        </w:tc>
      </w:tr>
    </w:tbl>
    <w:p>
      <w:pPr>
        <w:spacing w:after="80"/>
      </w:pPr>
      <w:r>
        <w:rPr>
          <w:rFonts w:ascii="Calibri" w:hAnsi="Calibri"/>
          <w:b/>
          <w:color w:val="000000"/>
          <w:sz w:val="20"/>
        </w:rPr>
        <w:t xml:space="preserve">Macro lens. </w:t>
      </w:r>
      <w:r>
        <w:rPr>
          <w:rFonts w:ascii="Calibri" w:hAnsi="Calibri"/>
          <w:sz w:val="20"/>
        </w:rPr>
        <w:t>Friday's chip-led rout (SOX ~-10.3%, &gt;$1T erased) followed the hot May NFP (+172k vs +85k consensus; SOURCED) and a 5 bp jump in the 10Y to 4.534% (SOURCED), an extension of the CPI/PPI-hot regime, not a thesis break. Monday opens with futures modestly lower but the semiconductor complex rebounding (MU +~10% pre-market; SOURCED). Wednesday June 10 is a double event — May CPI at 8:30 ET and ORCL Q4 FY26 AMC (both SOURCED dates) — landing one week before the June 16-17 FOMC. WTI at ~$93.50 (SOURCED) has moved away from the IPS sub-$90 trim trigger after OPEC+ raised July output by 188k bpd into escalating Israel-Iran supply risk.</w:t>
      </w:r>
    </w:p>
    <w:p>
      <w:pPr>
        <w:spacing w:before="160" w:after="60"/>
      </w:pPr>
      <w:r>
        <w:rPr>
          <w:rFonts w:ascii="Calibri" w:hAnsi="Calibri"/>
          <w:b/>
          <w:color w:val="365F91"/>
          <w:sz w:val="28"/>
        </w:rPr>
        <w:t>2. Scan 1 — Holdings Review (Affected Names)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08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432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Event / Headline</w:t>
            </w:r>
          </w:p>
        </w:tc>
        <w:tc>
          <w:tcPr>
            <w:tcW w:type="dxa" w:w="30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Read</w:t>
            </w:r>
          </w:p>
        </w:tc>
        <w:tc>
          <w:tcPr>
            <w:tcW w:type="dxa" w:w="12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ORCL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Q4 FY26 Wed 6/10 AMC. Cons EPS $1.96 / rev $19.10B; Q3 OCI +84%, RPO $553B (SOURCED).</w:t>
            </w:r>
          </w:p>
        </w:tc>
        <w:tc>
          <w:tcPr>
            <w:tcW w:type="dxa" w:w="30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Largest near-term held catalyst; OCI growth + FY27 guide in focus. Reactive on print.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HOLD 3.5%</w:t>
            </w:r>
          </w:p>
        </w:tc>
      </w:tr>
      <w:tr>
        <w:tc>
          <w:tcPr>
            <w:tcW w:type="dxa" w:w="1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LLY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Pre-mkt gains on ADA-conference obesity data; Citi conviction intact (SOURCED).</w:t>
            </w:r>
          </w:p>
        </w:tc>
        <w:tc>
          <w:tcPr>
            <w:tcW w:type="dxa" w:w="30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Positive; incretin breadth thesis intact. $920 add trigger not met (px above).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HOLD 4.5%</w:t>
            </w:r>
          </w:p>
        </w:tc>
      </w:tr>
      <w:tr>
        <w:tc>
          <w:tcPr>
            <w:tcW w:type="dxa" w:w="1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NVDA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Caught in Fri semi rout; upgrade cycle continues (banks lift PTs on H2 Blackwell ramp; SOURCED).</w:t>
            </w:r>
          </w:p>
        </w:tc>
        <w:tc>
          <w:tcPr>
            <w:tcW w:type="dxa" w:w="30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Thesis intact. At 6.5% target / 7.0% cap — no add room.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HOLD 6.5%</w:t>
            </w:r>
          </w:p>
        </w:tc>
      </w:tr>
      <w:tr>
        <w:tc>
          <w:tcPr>
            <w:tcW w:type="dxa" w:w="1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MU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-13.3% Fri (worst in S&amp;P), +~10% rebound Mon pre-mkt (SOURCED).</w:t>
            </w:r>
          </w:p>
        </w:tc>
        <w:tc>
          <w:tcPr>
            <w:tcW w:type="dxa" w:w="30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HBM3E/memory-cycle thesis intact; drawdown positioning-driven. At 2.5% — no cap issue.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HOLD 2.5%</w:t>
            </w:r>
          </w:p>
        </w:tc>
      </w:tr>
      <w:tr>
        <w:tc>
          <w:tcPr>
            <w:tcW w:type="dxa" w:w="1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AVGO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Post-Q2 multiple compression continues; AI-semi accel thesis intact (CONFIRMED prior).</w:t>
            </w:r>
          </w:p>
        </w:tc>
        <w:tc>
          <w:tcPr>
            <w:tcW w:type="dxa" w:w="30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Held at 4.0%; no add at current weight pending IPS-cap review.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HOLD 4.0%</w:t>
            </w:r>
          </w:p>
        </w:tc>
      </w:tr>
      <w:tr>
        <w:tc>
          <w:tcPr>
            <w:tcW w:type="dxa" w:w="1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XOM / EOG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WTI ~$93.50 after OPEC+ +188k bpd and weekend Israel-Iran strikes (SOURCED).</w:t>
            </w:r>
          </w:p>
        </w:tc>
        <w:tc>
          <w:tcPr>
            <w:tcW w:type="dxa" w:w="30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Trim trigger (sustained &lt;$90) NOT armed; gap ~$3.50. Tensions raise, not lower, premium.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HOLD</w:t>
            </w:r>
          </w:p>
        </w:tc>
      </w:tr>
      <w:tr>
        <w:tc>
          <w:tcPr>
            <w:tcW w:type="dxa" w:w="1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UNH</w:t>
            </w:r>
          </w:p>
        </w:tc>
        <w:tc>
          <w:tcPr>
            <w:tcW w:type="dxa" w:w="432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Carry-value FLAG into 9th session: tracker carry $510 vs market ~$280; DOJ probes (SOURCED/CALIBRATED).</w:t>
            </w:r>
          </w:p>
        </w:tc>
        <w:tc>
          <w:tcPr>
            <w:tcW w:type="dxa" w:w="30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Position appropriate at 3.0%; resync carry at next quarterly mark. No autonomous trade.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HOLD 3.0% FLAG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365F91"/>
          <w:sz w:val="28"/>
        </w:rPr>
        <w:t>3. Scan 2 — New Opportunities &amp; Watchlist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0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Candidate</w:t>
            </w:r>
          </w:p>
        </w:tc>
        <w:tc>
          <w:tcPr>
            <w:tcW w:type="dxa" w:w="288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Setup</w:t>
            </w:r>
          </w:p>
        </w:tc>
        <w:tc>
          <w:tcPr>
            <w:tcW w:type="dxa" w:w="86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108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Proposed Size</w:t>
            </w:r>
          </w:p>
        </w:tc>
        <w:tc>
          <w:tcPr>
            <w:tcW w:type="dxa" w:w="180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Entry Trigger</w:t>
            </w:r>
          </w:p>
        </w:tc>
        <w:tc>
          <w:tcPr>
            <w:tcW w:type="dxa" w:w="93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Price Stop</w:t>
            </w:r>
          </w:p>
        </w:tc>
        <w:tc>
          <w:tcPr>
            <w:tcW w:type="dxa" w:w="12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Thesis Stop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Pre-mortem</w:t>
            </w:r>
          </w:p>
        </w:tc>
      </w:tr>
      <w:tr>
        <w:tc>
          <w:tcPr>
            <w:tcW w:type="dxa" w:w="10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MRVL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Added to S&amp;P 500 eff. Jun 22 (replaces Pool Corp); rising pre-mkt on forced index demand. AI custom-silicon adjacency to AVGO.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MED</w:t>
            </w:r>
          </w:p>
        </w:tc>
        <w:tc>
          <w:tcPr>
            <w:tcW w:type="dxa" w:w="1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1.0-1.5% (watch)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Post-inclusion base above 20-day MA after Jun 22 buy-in absorbs</w:t>
            </w:r>
          </w:p>
        </w:tc>
        <w:tc>
          <w:tcPr>
            <w:tcW w:type="dxa" w:w="9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-8% from entry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AI custom-silicon order pace decelerates two quarters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Wrong if index-inclusion pop fully prices the move and AI-ASIC demand softens</w:t>
            </w:r>
          </w:p>
        </w:tc>
      </w:tr>
      <w:tr>
        <w:tc>
          <w:tcPr>
            <w:tcW w:type="dxa" w:w="10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ARM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Semi dip drags ARM toward the sub-$130 watch trigger; AI-edge royalty model (CALIBRATED level).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MED</w:t>
            </w:r>
          </w:p>
        </w:tc>
        <w:tc>
          <w:tcPr>
            <w:tcW w:type="dxa" w:w="1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1.0-1.5% (watch)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Sustained close &lt;$130 OR AI edge-device cycle data</w:t>
            </w:r>
          </w:p>
        </w:tc>
        <w:tc>
          <w:tcPr>
            <w:tcW w:type="dxa" w:w="9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-8% from entry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Royalty growth stalls / smartphone-unit weakness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Wrong if the multiple stays rich and edge-AI volumes lag</w:t>
            </w:r>
          </w:p>
        </w:tc>
      </w:tr>
      <w:tr>
        <w:tc>
          <w:tcPr>
            <w:tcW w:type="dxa" w:w="10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ISRG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Defensive med-device compounder for diversification away from concentrated tech; da Vinci procedure growth.</w:t>
            </w:r>
          </w:p>
        </w:tc>
        <w:tc>
          <w:tcPr>
            <w:tcW w:type="dxa" w:w="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LOW</w:t>
            </w:r>
          </w:p>
        </w:tc>
        <w:tc>
          <w:tcPr>
            <w:tcW w:type="dxa" w:w="10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1.0-1.5% (watch)</w:t>
            </w:r>
          </w:p>
        </w:tc>
        <w:tc>
          <w:tcPr>
            <w:tcW w:type="dxa" w:w="18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Any pullback &gt;10% from 52-wk high</w:t>
            </w:r>
          </w:p>
        </w:tc>
        <w:tc>
          <w:tcPr>
            <w:tcW w:type="dxa" w:w="93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-10% from entry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Procedure-volume growth decelerates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Wrong if valuation stays elevated and no pullback materializes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365F91"/>
          <w:sz w:val="28"/>
        </w:rPr>
        <w:t>4. Cash Recommendation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1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80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3312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Today's Read</w:t>
            </w:r>
          </w:p>
        </w:tc>
        <w:tc>
          <w:tcPr>
            <w:tcW w:type="dxa" w:w="12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Drawdown de-risk</w:t>
            </w:r>
          </w:p>
        </w:tc>
        <w:tc>
          <w:tcPr>
            <w:tcW w:type="dxa" w:w="28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WTD &gt;= -3% (S&amp;P 500 cash close)</w:t>
            </w:r>
          </w:p>
        </w:tc>
        <w:tc>
          <w:tcPr>
            <w:tcW w:type="dxa" w:w="331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Fri single-day -2.64%; Mon rebounding; WTD breach unconfirmed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NOT ARMED</w:t>
            </w:r>
          </w:p>
        </w:tc>
      </w:tr>
      <w:tr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Deploy (dip-buy)</w:t>
            </w:r>
          </w:p>
        </w:tc>
        <w:tc>
          <w:tcPr>
            <w:tcW w:type="dxa" w:w="28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NFP &lt;30k AND mkt -1.5%</w:t>
            </w:r>
          </w:p>
        </w:tc>
        <w:tc>
          <w:tcPr>
            <w:tcW w:type="dxa" w:w="331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Inverted — May NFP HOT (+172k)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INVERTED</w:t>
            </w:r>
          </w:p>
        </w:tc>
      </w:tr>
      <w:tr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Energy trim</w:t>
            </w:r>
          </w:p>
        </w:tc>
        <w:tc>
          <w:tcPr>
            <w:tcW w:type="dxa" w:w="28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Sustained WTI close &lt;$90</w:t>
            </w:r>
          </w:p>
        </w:tc>
        <w:tc>
          <w:tcPr>
            <w:tcW w:type="dxa" w:w="331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WTI ~$93.50; gap ~$3.50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PENDING</w:t>
            </w:r>
          </w:p>
        </w:tc>
      </w:tr>
      <w:tr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Cash band (IPS)</w:t>
            </w:r>
          </w:p>
        </w:tc>
        <w:tc>
          <w:tcPr>
            <w:tcW w:type="dxa" w:w="280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10.0% - 20.0%</w:t>
            </w:r>
          </w:p>
        </w:tc>
        <w:tc>
          <w:tcPr>
            <w:tcW w:type="dxa" w:w="331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15.0% — at self-imposed floor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WITHIN</w:t>
            </w:r>
          </w:p>
        </w:tc>
      </w:tr>
    </w:tbl>
    <w:p>
      <w:pPr>
        <w:spacing w:after="80"/>
      </w:pPr>
      <w:r>
        <w:rPr>
          <w:rFonts w:ascii="Calibri" w:hAnsi="Calibri"/>
          <w:b/>
          <w:color w:val="000000"/>
          <w:sz w:val="20"/>
        </w:rPr>
        <w:t xml:space="preserve">Rationale. </w:t>
      </w:r>
      <w:r>
        <w:rPr>
          <w:rFonts w:ascii="Calibri" w:hAnsi="Calibri"/>
          <w:sz w:val="20"/>
        </w:rPr>
        <w:t>Hold cash at 15.0% (CONFIRMED). No deploy, trim, or de-risk trigger is armed: the deploy condition is inverted by the hot NFP, WTI sits above the $90 trim line, and the Friday single-day drop did not confirm a -3% weekly drawdown on the index — with Monday stabilizing, an autonomous de-risk is not warranted. Reactive posture preserved into the Jun 10 CPI/ORCL double event and the Jun 16-17 FOMC.</w:t>
      </w:r>
    </w:p>
    <w:p>
      <w:pPr>
        <w:spacing w:before="160" w:after="60"/>
      </w:pPr>
      <w:r>
        <w:rPr>
          <w:rFonts w:ascii="Calibri" w:hAnsi="Calibri"/>
          <w:b/>
          <w:color w:val="365F91"/>
          <w:sz w:val="28"/>
        </w:rPr>
        <w:t>5. Pending Catalysts — Status Update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60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Event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Held Exposure</w:t>
            </w:r>
          </w:p>
        </w:tc>
        <w:tc>
          <w:tcPr>
            <w:tcW w:type="dxa" w:w="288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Action / Watch</w:t>
            </w:r>
          </w:p>
        </w:tc>
      </w:tr>
      <w:tr>
        <w:tc>
          <w:tcPr>
            <w:tcW w:type="dxa" w:w="17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Wed 6/10 (8:30 ET)</w:t>
            </w:r>
          </w:p>
        </w:tc>
        <w:tc>
          <w:tcPr>
            <w:tcW w:type="dxa" w:w="36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May CPI (Apr was 3.8% YoY)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Whole growth book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Read-across to FOMC dot plot; duration risk</w:t>
            </w:r>
          </w:p>
        </w:tc>
      </w:tr>
      <w:tr>
        <w:tc>
          <w:tcPr>
            <w:tcW w:type="dxa" w:w="17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Wed 6/10 (AMC)</w:t>
            </w:r>
          </w:p>
        </w:tc>
        <w:tc>
          <w:tcPr>
            <w:tcW w:type="dxa" w:w="36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ORCL Q4 FY26 (EPS $1.96e / $19.10Be)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ORCL 3.5%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Reactive on OCI growth + FY27 guide</w:t>
            </w:r>
          </w:p>
        </w:tc>
      </w:tr>
      <w:tr>
        <w:tc>
          <w:tcPr>
            <w:tcW w:type="dxa" w:w="17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Jul 5</w:t>
            </w:r>
          </w:p>
        </w:tc>
        <w:tc>
          <w:tcPr>
            <w:tcW w:type="dxa" w:w="36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OPEC+ next meeting (Aug quotas)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XOM 3.0% / EOG 2.5%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Watch supply path vs Mideast premium</w:t>
            </w:r>
          </w:p>
        </w:tc>
      </w:tr>
      <w:tr>
        <w:tc>
          <w:tcPr>
            <w:tcW w:type="dxa" w:w="17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Tue-Wed 6/16-17</w:t>
            </w:r>
          </w:p>
        </w:tc>
        <w:tc>
          <w:tcPr>
            <w:tcW w:type="dxa" w:w="36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FOMC — first under Chair Warsh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Whole book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Rate-path / dot-plot risk; no pre-positioning</w:t>
            </w:r>
          </w:p>
        </w:tc>
      </w:tr>
      <w:tr>
        <w:tc>
          <w:tcPr>
            <w:tcW w:type="dxa" w:w="17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Ongoing</w:t>
            </w:r>
          </w:p>
        </w:tc>
        <w:tc>
          <w:tcPr>
            <w:tcW w:type="dxa" w:w="36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UNH carry-value reconciliation (9th session)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UNH 3.0%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Resync $510 carry vs ~$280 mkt at quarterly mark</w:t>
            </w:r>
          </w:p>
        </w:tc>
      </w:tr>
      <w:tr>
        <w:tc>
          <w:tcPr>
            <w:tcW w:type="dxa" w:w="172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Ongoing</w:t>
            </w:r>
          </w:p>
        </w:tc>
        <w:tc>
          <w:tcPr>
            <w:tcW w:type="dxa" w:w="360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Sector-label reconciliation (Tech 39% label / 33.5% GICS)</w:t>
            </w:r>
          </w:p>
        </w:tc>
        <w:tc>
          <w:tcPr>
            <w:tcW w:type="dxa" w:w="201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Tech sleeve</w:t>
            </w:r>
          </w:p>
        </w:tc>
        <w:tc>
          <w:tcPr>
            <w:tcW w:type="dxa" w:w="28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Manager to confirm taxonomy; no trade</w:t>
            </w:r>
          </w:p>
        </w:tc>
      </w:tr>
    </w:tbl>
    <w:p>
      <w:pPr>
        <w:spacing w:before="160" w:after="60"/>
      </w:pPr>
      <w:r>
        <w:rPr>
          <w:rFonts w:ascii="Calibri" w:hAnsi="Calibri"/>
          <w:b/>
          <w:color w:val="365F91"/>
          <w:sz w:val="28"/>
        </w:rPr>
        <w:t>6. Recommended Weight Changes (today)</w:t>
      </w:r>
    </w:p>
    <w:p>
      <w:pPr>
        <w:spacing w:after="80"/>
      </w:pPr>
      <w:r>
        <w:rPr>
          <w:rFonts w:ascii="Calibri" w:hAnsi="Calibri"/>
          <w:b/>
          <w:color w:val="000000"/>
          <w:sz w:val="20"/>
        </w:rPr>
        <w:t xml:space="preserve">No weight changes today. </w:t>
      </w:r>
      <w:r>
        <w:rPr>
          <w:rFonts w:ascii="Calibri" w:hAnsi="Calibri"/>
          <w:sz w:val="20"/>
        </w:rPr>
        <w:t>Hold 27 positions + 15.0% cash at current target weights (CONFIRMED). No IPS trigger is armed and Monday's tape is stabilizing; all changes remain reactive to the Jun 10 CPI/ORCL prints and the Jun 16-17 FOMC. Post-check: all single-name weights &lt;= 7.0%, ETF &lt;= 5.0%, sector &lt;= 35.0% under GICS (tracker-label Tech 39.0% FLAGGED, classification-dependent), cash within 10-20%, no leverage / options / shorts.</w:t>
      </w:r>
    </w:p>
    <w:p>
      <w:pPr>
        <w:spacing w:before="160" w:after="60"/>
      </w:pPr>
      <w:r>
        <w:rPr>
          <w:rFonts w:ascii="Calibri" w:hAnsi="Calibri"/>
          <w:b/>
          <w:color w:val="365F91"/>
          <w:sz w:val="28"/>
        </w:rPr>
        <w:t>7. Full Portfolio Table — 27 Positions + Cash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64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224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4896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Sector</w:t>
            </w:r>
          </w:p>
        </w:tc>
        <w:tc>
          <w:tcPr>
            <w:tcW w:type="dxa" w:w="1368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Weight %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color w:val="FFFFFF"/>
                <w:sz w:val="18"/>
              </w:rPr>
              <w:t>Tag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NVDA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Technology – AI Infrastructure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6.5%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AMZN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Technology – Cloud / E-Commerce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5.5%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META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Communication Services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4.5%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LLY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Healthcare – Pharmaceuticals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4.5%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JPM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Financials – Banking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4.5%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AVGO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Technology – Semiconductors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4.0%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MSFT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Technology – Enterprise Software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4.0%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PANW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Technology – Cybersecurity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4.0%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QQQ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ETF – Nasdaq-100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3.5%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ORCL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Technology – Cloud Database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3.5%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GOOGL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Technology – Search / Cloud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3.0%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PLTR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Technology – AI Software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3.0%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UNH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Healthcare – Managed Care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3.0%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XOM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Energy – Integrated Oil &amp; Gas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3.0%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V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Financials – Payments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3.0%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TSM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Technology – Foundry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3.0%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VUG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ETF – Large-Cap Growth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2.5%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SCHD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ETF – Dividend / Income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2.5%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MU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Technology – Memory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2.5%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EOG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Energy – E&amp;P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2.5%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COST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Consumer Staples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2.5%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DASH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Consumer Discretionary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2.0%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NEE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Utilities – Renewables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2.0%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ABBV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Healthcare – Biotech / Pharma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1.5%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NFLX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Communication Services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1.5%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CRWD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Technology – Cybersecurity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1.5%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INTC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Technology – Semiconductors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1.5%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  <w:tr>
        <w:tc>
          <w:tcPr>
            <w:tcW w:type="dxa" w:w="64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122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CASH</w:t>
            </w:r>
          </w:p>
        </w:tc>
        <w:tc>
          <w:tcPr>
            <w:tcW w:type="dxa" w:w="489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Cash &amp; Equivalents</w:t>
            </w:r>
          </w:p>
        </w:tc>
        <w:tc>
          <w:tcPr>
            <w:tcW w:type="dxa" w:w="13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onsolas" w:hAnsi="Consolas"/>
                <w:sz w:val="18"/>
              </w:rPr>
              <w:t>15.0%</w:t>
            </w:r>
          </w:p>
        </w:tc>
        <w:tc>
          <w:tcPr>
            <w:tcW w:type="dxa" w:w="144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CONFIRMED</w:t>
            </w:r>
          </w:p>
        </w:tc>
      </w:tr>
    </w:tbl>
    <w:p>
      <w:pPr>
        <w:spacing w:before="80"/>
      </w:pPr>
      <w:r>
        <w:rPr>
          <w:rFonts w:ascii="Calibri" w:hAnsi="Calibri"/>
          <w:b/>
          <w:color w:val="0B6E3D"/>
          <w:sz w:val="20"/>
        </w:rPr>
        <w:t>Portfolio sum verified: 100.0% = 100.0% ✓</w:t>
      </w:r>
    </w:p>
    <w:p>
      <w:pPr>
        <w:spacing w:before="160" w:after="60"/>
      </w:pPr>
      <w:r>
        <w:rPr>
          <w:rFonts w:ascii="Calibri" w:hAnsi="Calibri"/>
          <w:b/>
          <w:color w:val="365F91"/>
          <w:sz w:val="28"/>
        </w:rPr>
        <w:t>8. Sources &amp; Methodology</w:t>
      </w:r>
    </w:p>
    <w:p>
      <w:pPr>
        <w:pStyle w:val="ListBullet"/>
        <w:spacing w:after="0"/>
      </w:pPr>
      <w:r>
        <w:rPr>
          <w:rFonts w:ascii="Calibri" w:hAnsi="Calibri"/>
          <w:b/>
          <w:sz w:val="18"/>
        </w:rPr>
        <w:t>TheStreet / CNBC / CNN (Jun 5-8, 2026)</w:t>
      </w:r>
      <w:r>
        <w:rPr>
          <w:rFonts w:ascii="Calibri" w:hAnsi="Calibri"/>
          <w:sz w:val="18"/>
        </w:rPr>
        <w:t xml:space="preserve"> — S&amp;P / Nasdaq / Dow closes, Fri 6/5 rout, Mon 6/8 pre-market and rebound.</w:t>
      </w:r>
    </w:p>
    <w:p>
      <w:pPr>
        <w:pStyle w:val="ListBullet"/>
        <w:spacing w:after="0"/>
      </w:pPr>
      <w:r>
        <w:rPr>
          <w:rFonts w:ascii="Calibri" w:hAnsi="Calibri"/>
          <w:b/>
          <w:sz w:val="18"/>
        </w:rPr>
        <w:t>BLS Employment Situation 2026-M05 (Jun 5, 2026)</w:t>
      </w:r>
      <w:r>
        <w:rPr>
          <w:rFonts w:ascii="Calibri" w:hAnsi="Calibri"/>
          <w:sz w:val="18"/>
        </w:rPr>
        <w:t xml:space="preserve"> — May NFP +172k, revisions; CPI release schedule (May CPI Jun 10).</w:t>
      </w:r>
    </w:p>
    <w:p>
      <w:pPr>
        <w:pStyle w:val="ListBullet"/>
        <w:spacing w:after="0"/>
      </w:pPr>
      <w:r>
        <w:rPr>
          <w:rFonts w:ascii="Calibri" w:hAnsi="Calibri"/>
          <w:b/>
          <w:sz w:val="18"/>
        </w:rPr>
        <w:t>CNBC / Trading Economics (Jun 5, 2026)</w:t>
      </w:r>
      <w:r>
        <w:rPr>
          <w:rFonts w:ascii="Calibri" w:hAnsi="Calibri"/>
          <w:sz w:val="18"/>
        </w:rPr>
        <w:t xml:space="preserve"> — 10Y/30Y UST yields.</w:t>
      </w:r>
    </w:p>
    <w:p>
      <w:pPr>
        <w:pStyle w:val="ListBullet"/>
        <w:spacing w:after="0"/>
      </w:pPr>
      <w:r>
        <w:rPr>
          <w:rFonts w:ascii="Calibri" w:hAnsi="Calibri"/>
          <w:b/>
          <w:sz w:val="18"/>
        </w:rPr>
        <w:t>CNBC / FXLeaders / TradingKey (Jun 7-8, 2026)</w:t>
      </w:r>
      <w:r>
        <w:rPr>
          <w:rFonts w:ascii="Calibri" w:hAnsi="Calibri"/>
          <w:sz w:val="18"/>
        </w:rPr>
        <w:t xml:space="preserve"> — OPEC+ +188k bpd July hike; WTI ~$93.50; Israel-Iran supply premium.</w:t>
      </w:r>
    </w:p>
    <w:p>
      <w:pPr>
        <w:pStyle w:val="ListBullet"/>
        <w:spacing w:after="0"/>
      </w:pPr>
      <w:r>
        <w:rPr>
          <w:rFonts w:ascii="Calibri" w:hAnsi="Calibri"/>
          <w:b/>
          <w:sz w:val="18"/>
        </w:rPr>
        <w:t>StockTitan / Alphastreet / Oracle IR (Jun 2026)</w:t>
      </w:r>
      <w:r>
        <w:rPr>
          <w:rFonts w:ascii="Calibri" w:hAnsi="Calibri"/>
          <w:sz w:val="18"/>
        </w:rPr>
        <w:t xml:space="preserve"> — ORCL Q4 FY26 date, EPS/rev consensus, OCI/RPO.</w:t>
      </w:r>
    </w:p>
    <w:p>
      <w:pPr>
        <w:pStyle w:val="ListBullet"/>
        <w:spacing w:after="0"/>
      </w:pPr>
      <w:r>
        <w:rPr>
          <w:rFonts w:ascii="Calibri" w:hAnsi="Calibri"/>
          <w:b/>
          <w:sz w:val="18"/>
        </w:rPr>
        <w:t>CNBC / Citi (Jun 8, 2026)</w:t>
      </w:r>
      <w:r>
        <w:rPr>
          <w:rFonts w:ascii="Calibri" w:hAnsi="Calibri"/>
          <w:sz w:val="18"/>
        </w:rPr>
        <w:t xml:space="preserve"> — LLY ADA-conference data; analyst conviction.</w:t>
      </w:r>
    </w:p>
    <w:p>
      <w:pPr>
        <w:pStyle w:val="ListBullet"/>
        <w:spacing w:after="0"/>
      </w:pPr>
      <w:r>
        <w:rPr>
          <w:rFonts w:ascii="Calibri" w:hAnsi="Calibri"/>
          <w:b/>
          <w:sz w:val="18"/>
        </w:rPr>
        <w:t>Bloomberg / S&amp;P DJI (Jun 8, 2026)</w:t>
      </w:r>
      <w:r>
        <w:rPr>
          <w:rFonts w:ascii="Calibri" w:hAnsi="Calibri"/>
          <w:sz w:val="18"/>
        </w:rPr>
        <w:t xml:space="preserve"> — MRVL S&amp;P 500 inclusion (eff. Jun 22).</w:t>
      </w:r>
    </w:p>
    <w:p>
      <w:pPr>
        <w:pStyle w:val="ListBullet"/>
        <w:spacing w:after="0"/>
      </w:pPr>
      <w:r>
        <w:rPr>
          <w:rFonts w:ascii="Calibri" w:hAnsi="Calibri"/>
          <w:b/>
          <w:sz w:val="18"/>
        </w:rPr>
        <w:t>Federal Reserve FOMC calendar (Jun 2026)</w:t>
      </w:r>
      <w:r>
        <w:rPr>
          <w:rFonts w:ascii="Calibri" w:hAnsi="Calibri"/>
          <w:sz w:val="18"/>
        </w:rPr>
        <w:t xml:space="preserve"> — FOMC Jun 16-17; target 3.50-3.75%.</w:t>
      </w:r>
    </w:p>
    <w:p>
      <w:pPr>
        <w:pStyle w:val="ListBullet"/>
        <w:spacing w:after="0"/>
      </w:pPr>
      <w:r>
        <w:rPr>
          <w:rFonts w:ascii="Calibri" w:hAnsi="Calibri"/>
          <w:b/>
          <w:sz w:val="18"/>
        </w:rPr>
        <w:t>WM_Growth_Portfolio_Apr2026.xlsx — Portfolio Overview (CONFIRMED)</w:t>
      </w:r>
      <w:r>
        <w:rPr>
          <w:rFonts w:ascii="Calibri" w:hAnsi="Calibri"/>
          <w:sz w:val="18"/>
        </w:rPr>
        <w:t xml:space="preserve"> — position weights; Daily Report Log continuity.</w:t>
      </w:r>
    </w:p>
    <w:p>
      <w:pPr>
        <w:pStyle w:val="ListBullet"/>
        <w:spacing w:after="0"/>
      </w:pPr>
      <w:r>
        <w:rPr>
          <w:rFonts w:ascii="Calibri" w:hAnsi="Calibri"/>
          <w:b/>
          <w:sz w:val="18"/>
        </w:rPr>
        <w:t>WM_Growth_Portfolio_IPS_v1.0.docx</w:t>
      </w:r>
      <w:r>
        <w:rPr>
          <w:rFonts w:ascii="Calibri" w:hAnsi="Calibri"/>
          <w:sz w:val="18"/>
        </w:rPr>
        <w:t xml:space="preserve"> — hard limits: single 7.0%, ETF 5.0%, sector 35.0%, cash 10-20%, no leverage/options/shorts.</w:t>
      </w:r>
    </w:p>
    <w:p>
      <w:pPr>
        <w:spacing w:after="80"/>
      </w:pPr>
      <w:r>
        <w:rPr>
          <w:rFonts w:ascii="Calibri" w:hAnsi="Calibri"/>
          <w:b/>
          <w:color w:val="000000"/>
          <w:sz w:val="20"/>
        </w:rPr>
        <w:t xml:space="preserve">Methodology. </w:t>
      </w:r>
      <w:r>
        <w:rPr>
          <w:rFonts w:ascii="Calibri" w:hAnsi="Calibri"/>
          <w:sz w:val="20"/>
        </w:rPr>
        <w:t>Prices, yields, macro prints, and corporate-event dates are SOURCED at write time via web search. Portfolio weights are CONFIRMED from the tracker's Portfolio Overview sheet. UNH market level and ARM level are CALIBRATED/indicative pending a live mark. No claim of alpha or attribution is made in this report. Every recommendation carries confidence, size, entry, price stop, thesis stop, and pre-mortem per IPS trade discipline.</w:t>
      </w:r>
    </w:p>
    <w:p>
      <w:pPr>
        <w:spacing w:before="120"/>
      </w:pPr>
      <w:r>
        <w:rPr>
          <w:rFonts w:ascii="Calibri" w:hAnsi="Calibri"/>
          <w:i/>
          <w:color w:val="777777"/>
          <w:sz w:val="16"/>
        </w:rPr>
        <w:t>Disclaimer: For internal portfolio-management use only. Not investment advice. Past performance is not indicative of future results.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