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color w:val="1F4E79"/>
          <w:sz w:val="36"/>
        </w:rPr>
        <w:t>DAILY PRE-MARKET PORTFOLIO REPORT</w:t>
      </w:r>
    </w:p>
    <w:p>
      <w:pPr>
        <w:spacing w:after="40" w:before="0"/>
        <w:jc w:val="center"/>
      </w:pPr>
      <w:r>
        <w:rPr>
          <w:rFonts w:ascii="Calibri" w:hAnsi="Calibri"/>
          <w:b w:val="0"/>
          <w:i/>
          <w:sz w:val="22"/>
        </w:rPr>
        <w:t>Long-Term Growth Portfolio  |  Active Wealth Management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Report Date: Wednesday, June 17, 2026  |  Benchmark: S&amp;P 500  |  Horizon: Long-Term Growth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1. Market Snapshot — Pre-Market / Intraday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S&amp;P 500 (fut.)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~7,420 ref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+0.10%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Pre-open 8:14 ET; FOMC day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Nasdaq-100 (fut.)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+0.66%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 bid into decision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Dow (fut.)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-0.07%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Flat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Russell 2000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+0.11%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Small-caps steady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10Y UST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~4.53%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elevated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Duration pressure persists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WTI crude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~$91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range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Above sub-$90 trim trigger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Fed funds tgt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3.50-3.75%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unch (pre-2pm)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FOMC decision 2:00 ET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0"/>
        </w:rPr>
        <w:t>Macro lens. Pre-open is modestly higher into the first FOMC decision under Chair Warsh (2:00 ET). The May CPI print (Jun 10) ran hot — headline +4.2% YoY, a three-year high, core +2.9% — and the SEP dot plot is the swing factor: a hawkish set of dots (a hike penciled by year-end) would extend duration pressure on the long-duration growth book. This report is pre-decision; posture stays reactive. Pre-market and macro figures are SOURCED; portfolio weights are CONFIRMED from the tracker.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2. Scan 1 — Holdings Review (Affected Names)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88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Event / Headline</w:t>
            </w:r>
          </w:p>
        </w:tc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ORCL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Q4 FY26 beat (EPS $2.11 vs $1.89; RPO $638B +363%) but FY26 FCF -$23.7B, capex +162% to $55.7B + equity raise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Growth thesis intact; FCF burn and dilution are new watch items. ~$187 after -10%/rebound.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3.5%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UNH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Six upgrades (to $466-492); FY26 adj EPS guide raised &gt;$18.25; dividend lifted to $2.32; MA Star ratings improved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Re-rated to ~$412 (Jun 15). Carry-value FLAG resolving up vs stale $510 carry. DOJ/Optum = binary risk.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3.0% (FLAG)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MU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FQ3 earnings Wed Jun 24 AMC (within 5 sessions); sold out of HBM; guide rev ~$33.5B, GM ~81%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Largest near-term held catalyst. Reactive on the print; no pre-position.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2.5% (PENDING)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NVDA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Blackwell H2 shipment ramp; multiple PT raises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At 6.5% target / 7.0% IPS cap — no add room.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6.5% (cap)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META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June upgrades: heavy-capex year absorbed without margin damage; Reels/ad-pricing leverage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Thesis intact.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4.5%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AVGO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Post Q2 (Jun 3) upgrades; AI ASIC momentum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Thesis intact.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4.0%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LLY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ADA obesity-drug data positive; $920 intraday add trigger not hit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Hold; trigger inactive.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4.5%</w:t>
            </w:r>
          </w:p>
        </w:tc>
      </w:tr>
      <w:tr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XOM/EOG</w:t>
            </w:r>
          </w:p>
        </w:tc>
        <w:tc>
          <w:tcPr>
            <w:tcW w:type="dxa" w:w="38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WTI ~$91; OPEC+ +188k bpd July hike moved price away from sub-$90 trim trigger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Energy held at rebuilt weights.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HOLD 3.0%/2.5%</w:t>
            </w:r>
          </w:p>
        </w:tc>
      </w:tr>
    </w:tbl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3. Scan 2 — New Opportunities &amp; Watchlist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27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Proposed Size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Entry Trigger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Price Stop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Thesis Stop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Pre-mortem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MRVL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S&amp;P 500 inclusion eff. Jun 22 (forced passive buying); NVDA $2B stake + partnership; AI infra; +210% YTD</w:t>
            </w:r>
          </w:p>
        </w:tc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MED-LOW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1.0-1.5% (from cash)</w:t>
            </w:r>
          </w:p>
        </w:tc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Post-Jun 22 consolidation / pullback toward 50-day; not chasing inclusion pop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-12% from entry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Two quarters of decelerating data-center revenue</w:t>
            </w:r>
          </w:p>
        </w:tc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Wrong if the index-inclusion bid is fully priced and unwinds after Jun 22; AI-capex peak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INTC (held)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Upgrade wave continues; +250% YTD; 18A ramp</w:t>
            </w:r>
          </w:p>
        </w:tc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held 1.5% — no add</w:t>
            </w:r>
          </w:p>
        </w:tc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Sustained 18A external-yield confirmation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trailing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18A yield stalls</w:t>
            </w:r>
          </w:p>
        </w:tc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Wrong if foundry ramp slips; momentum unwind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0"/>
        </w:rPr>
        <w:t>No autonomous entries. MRVL is a momentum/index-inclusion trade on an extended chart with no pullback; it is logged as a watch candidate only. All watchlist names require an explicit, observable trigger before any sizing.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4. Cash Recommendation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Reading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Current cash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15.0%</w:t>
            </w:r>
          </w:p>
        </w:tc>
        <w:tc>
          <w:tcPr>
            <w:tcW w:type="dxa" w:w="259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Band 10-20% (mid 15%)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Deploy signal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None active</w:t>
            </w:r>
          </w:p>
        </w:tc>
        <w:tc>
          <w:tcPr>
            <w:tcW w:type="dxa" w:w="259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S&amp;P sustained &gt; 200-day MA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De-risk signal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Not triggered</w:t>
            </w:r>
          </w:p>
        </w:tc>
        <w:tc>
          <w:tcPr>
            <w:tcW w:type="dxa" w:w="259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WTD &lt;= -3% drawdown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1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Event overhang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FOMC 2:00 ET today</w:t>
            </w:r>
          </w:p>
        </w:tc>
        <w:tc>
          <w:tcPr>
            <w:tcW w:type="dxa" w:w="259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Reactive until decision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0"/>
        </w:rPr>
        <w:t>Rationale. Hold cash at 15.0% (CONFIRMED), the self-imposed reactive floor within the 10-20% IPS band. No deploy, trim, or de-risk trigger is active pre-decision. Dry powder is preserved into the FOMC print and the MU earnings on Jun 24.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5. Pending Catalysts — Status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Held Exposure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Watch</w:t>
            </w:r>
          </w:p>
        </w:tc>
      </w:tr>
      <w:tr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Jun 17 (2pm)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FOMC decision (Warsh) + SEP dots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Whole growth book / duration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Reactive; hawkish dots extend rate-path risk</w:t>
            </w:r>
          </w:p>
        </w:tc>
      </w:tr>
      <w:tr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Jun 22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MRVL + FLEX join S&amp;P 500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None (watch)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Index-inclusion trade; no entry</w:t>
            </w:r>
          </w:p>
        </w:tc>
      </w:tr>
      <w:tr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Jun 24 AMC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MU FQ3 earnings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MU 2.5%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Reactive on print; sold out of HBM</w:t>
            </w:r>
          </w:p>
        </w:tc>
      </w:tr>
      <w:tr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UNH carry-value resync (10th session)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UNH 3.0%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Resync tracker carry $510 -&gt; mkt ~$412 at quarterly</w:t>
            </w:r>
          </w:p>
        </w:tc>
      </w:tr>
      <w:tr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Sector-label FLAG (Tech 39.0% tag / 33.5% GICS)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 book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No GICS breach; reconcile labels at quarterly</w:t>
            </w:r>
          </w:p>
        </w:tc>
      </w:tr>
    </w:tbl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6. Recommended Weight Changes (today)</w:t>
      </w:r>
    </w:p>
    <w:p>
      <w:pPr>
        <w:spacing w:after="80"/>
      </w:pPr>
      <w:r>
        <w:rPr>
          <w:b/>
          <w:sz w:val="20"/>
        </w:rPr>
        <w:t xml:space="preserve">No weight changes today. </w:t>
      </w:r>
      <w:r>
        <w:rPr>
          <w:sz w:val="20"/>
        </w:rPr>
        <w:t>Hold 27 positions + 15.0% cash at current targets. Posture is reactive into the 2:00 ET FOMC decision; no IPS trigger (single 7.0%, sector 35.0%, cash 10-20%) is breached and no observable entry/exit trigger is active. Carried flags: UNH carry-value resync (now directionally upward, market ~$412 vs tracker carry $510) and the classification-dependent Technology sector label (39.0% tracker-tag vs 33.5% GICS).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7. Full Portfolio Table — 27 Positions + Cash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43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Weight %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NVDA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AI Infrastructure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6.5%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AMZN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Cloud / E-Commerce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5.5%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META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Communication Services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LLY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Healthcare – Pharmaceuticals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JPM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Financials – Banking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AVGO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Semiconductors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MSFT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Enterprise Software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PANW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Cybersecurity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QQQ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ETF – Nasdaq-100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ORCL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Cloud Database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GOOGL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Search / Cloud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PLTR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AI Software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UNH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Healthcare – Managed Care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XOM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Energy – Integrated Oil &amp; Gas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Financials – Payments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TSM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Foundry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VUG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ETF – Large-Cap Growth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SCHD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ETF – Dividend / Income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MU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Memory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EOG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Energy – E&amp;P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Consumer Staples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DASH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Consumer Discretionary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NEE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Utilities – Renewables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2.0%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ABBV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Healthcare – Biotech / Pharma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NFLX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Communication Services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CRWD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Cybersecurity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INTC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Technology – Semiconductors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57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1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CASH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Cash &amp; Equivalents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sz w:val="18"/>
              </w:rPr>
              <w:t>15.0%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</w:tbl>
    <w:p>
      <w:pPr>
        <w:spacing w:after="80" w:before="80"/>
        <w:jc w:val="left"/>
      </w:pPr>
      <w:r>
        <w:rPr>
          <w:rFonts w:ascii="Calibri" w:hAnsi="Calibri"/>
          <w:b/>
          <w:i w:val="0"/>
          <w:color w:val="0B6E3D"/>
          <w:sz w:val="20"/>
        </w:rPr>
        <w:t>Portfolio sum verified: 100.0% = 100.0% ✓</w:t>
      </w:r>
    </w:p>
    <w:p>
      <w:pPr>
        <w:spacing w:after="80" w:before="160"/>
        <w:jc w:val="left"/>
      </w:pPr>
      <w:r>
        <w:rPr>
          <w:rFonts w:ascii="Calibri" w:hAnsi="Calibri"/>
          <w:b/>
          <w:i w:val="0"/>
          <w:color w:val="365F91"/>
          <w:sz w:val="28"/>
        </w:rPr>
        <w:t>8. Sources &amp; Methodology</w:t>
      </w:r>
    </w:p>
    <w:p>
      <w:pPr>
        <w:pStyle w:val="ListBullet"/>
        <w:spacing w:after="20"/>
      </w:pPr>
      <w:r>
        <w:rPr>
          <w:sz w:val="18"/>
        </w:rPr>
        <w:t>CNBC / TheStreet / Yahoo Finance (Jun 16-17, 2026) — FOMC under Chair Warsh; target held 3.50-3.75%; hawkish SEP dots.</w:t>
      </w:r>
    </w:p>
    <w:p>
      <w:pPr>
        <w:pStyle w:val="ListBullet"/>
        <w:spacing w:after="20"/>
      </w:pPr>
      <w:r>
        <w:rPr>
          <w:sz w:val="18"/>
        </w:rPr>
        <w:t>Investing.com / StockMarketWatch / Benzinga (Jun 17, 2026) — pre-market index levels (8:14 ET).</w:t>
      </w:r>
    </w:p>
    <w:p>
      <w:pPr>
        <w:pStyle w:val="ListBullet"/>
        <w:spacing w:after="20"/>
      </w:pPr>
      <w:r>
        <w:rPr>
          <w:sz w:val="18"/>
        </w:rPr>
        <w:t>BLS CPI 2026-M05 / CNBC (Jun 10, 2026) — May CPI +4.2% YoY headline, +2.9% core.</w:t>
      </w:r>
    </w:p>
    <w:p>
      <w:pPr>
        <w:pStyle w:val="ListBullet"/>
        <w:spacing w:after="20"/>
      </w:pPr>
      <w:r>
        <w:rPr>
          <w:sz w:val="18"/>
        </w:rPr>
        <w:t>Oracle 8-K / CNBC / indmoney / Yahoo (Jun 10-17, 2026) — ORCL Q4 FY26 results, RPO, FCF/capex, price reaction.</w:t>
      </w:r>
    </w:p>
    <w:p>
      <w:pPr>
        <w:pStyle w:val="ListBullet"/>
        <w:spacing w:after="20"/>
      </w:pPr>
      <w:r>
        <w:rPr>
          <w:sz w:val="18"/>
        </w:rPr>
        <w:t>MarketBeat / Simply Wall St / BofA (May-Jun 2026) — UNH upgrades, EPS guide raise, dividend, MA Star ratings.</w:t>
      </w:r>
    </w:p>
    <w:p>
      <w:pPr>
        <w:pStyle w:val="ListBullet"/>
        <w:spacing w:after="20"/>
      </w:pPr>
      <w:r>
        <w:rPr>
          <w:sz w:val="18"/>
        </w:rPr>
        <w:t>TipRanks / Micron 8-K (Jun 2026) — MU Jun 24 earnings date and FQ3 guidance.</w:t>
      </w:r>
    </w:p>
    <w:p>
      <w:pPr>
        <w:pStyle w:val="ListBullet"/>
        <w:spacing w:after="20"/>
      </w:pPr>
      <w:r>
        <w:rPr>
          <w:sz w:val="18"/>
        </w:rPr>
        <w:t>CNBC / S&amp;P DJI / Yahoo / Benzinga (Jun 5-17, 2026) — MRVL S&amp;P 500 inclusion (eff. Jun 22), NVDA stake.</w:t>
      </w:r>
    </w:p>
    <w:p>
      <w:pPr>
        <w:pStyle w:val="ListBullet"/>
        <w:spacing w:after="20"/>
      </w:pPr>
      <w:r>
        <w:rPr>
          <w:sz w:val="18"/>
        </w:rPr>
        <w:t>WM_Growth_Portfolio_Apr2026.xlsx — Portfolio Overview (CONFIRMED) — position weights, ground truth.</w:t>
      </w:r>
    </w:p>
    <w:p>
      <w:pPr>
        <w:pStyle w:val="ListBullet"/>
        <w:spacing w:after="20"/>
      </w:pPr>
      <w:r>
        <w:rPr>
          <w:sz w:val="18"/>
        </w:rPr>
        <w:t>WM_Growth_Portfolio_IPS_v1.0.docx — hard limits: single 7.0%, ETF 5.0%, sector 35.0%, cash 10-20%, no leverage/options/shorts.</w:t>
      </w:r>
    </w:p>
    <w:p>
      <w:pPr>
        <w:spacing w:after="80" w:before="80"/>
        <w:jc w:val="left"/>
      </w:pPr>
      <w:r>
        <w:rPr>
          <w:rFonts w:ascii="Calibri" w:hAnsi="Calibri"/>
          <w:b w:val="0"/>
          <w:i w:val="0"/>
          <w:sz w:val="20"/>
        </w:rPr>
        <w:t>Methodology. Prices, yields, macro prints, and corporate-event dates are SOURCED at write time (pre-2:00 ET FOMC). Portfolio weights are CONFIRMED from the tracker. No CALIBRATED figures are used in this report. Every recommendation carries confidence, size, entry trigger, price stop, thesis stop, and pre-mortem. IPS hard limits verified: NVDA 6.5% &lt; 7.0% single cap; cash 15.0% within 10-20%; sector within 35.0% on GICS basis (tracker-label Technology 39.0% flagged, classification-dependent); no leverage, options, or shorts.</w:t>
      </w:r>
    </w:p>
    <w:p>
      <w:pPr>
        <w:spacing w:after="80" w:before="0"/>
        <w:jc w:val="left"/>
      </w:pPr>
      <w:r>
        <w:rPr>
          <w:rFonts w:ascii="Calibri" w:hAnsi="Calibri"/>
          <w:b w:val="0"/>
          <w:i/>
          <w:color w:val="777777"/>
          <w:sz w:val="16"/>
        </w:rPr>
        <w:t>Disclaimer: For internal portfolio-management use only. Not investment advice. Past performance is not indicative of future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