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DAILY PRE-MARKET PORTFOLIO REPORT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Long-Term Growth Portfolio   |   Active Wealth Management</w:t>
      </w:r>
    </w:p>
    <w:p>
      <w:pPr>
        <w:spacing w:after="7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Report Date: Thursday, June 25, 2026   |   Benchmark: S&amp;P 500   |   Horizon: Long-Term Growth</w:t>
      </w:r>
    </w:p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1.  Market Snapshot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333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Indicator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 / Move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Provenance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S&amp;P 500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+0.52%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Risk-on; memory/AI bid leads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Nasdaq Composite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+0.24%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Dispersion: AAPL -4%, GOOGL -1.4%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Dow Jones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+0.65%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Broad participation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Russell 2000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+0.37%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Small-cap follow-through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WTI crude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&lt; $70/bbl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4th down session; war premium unwound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PCE (May, YoY)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+4.1%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Hottest since Apr 2023; hawkish read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SOURCED</w:t>
            </w:r>
          </w:p>
        </w:tc>
      </w:tr>
    </w:tbl>
    <w:p>
      <w:pPr>
        <w:spacing w:after="3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Macro lens: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Micron's FQ3 blowout (Section 2) drove a memory/AI bid that lifted the tape despite a hot May PCE print of +4.1% YoY, the highest since April 2023, landing one week after the June 17 FOMC turned hawkish. WTI fell below $70 on a fourth consecutive down session as the June 16 U.S.-Iran peace memorandum and a Hezbollah ceasefire unwound the war premium. AAPL fell 4% on Mac price hikes tied to memory-cost inflation, a positive cross-read for the memory complex.</w:t>
      </w:r>
    </w:p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2.  Scan 1 - Holdings Review (Affected Names)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50"/>
        <w:gridCol w:w="4150"/>
        <w:gridCol w:w="1750"/>
        <w:gridCol w:w="198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Wt %</w:t>
            </w:r>
          </w:p>
        </w:tc>
        <w:tc>
          <w:tcPr>
            <w:tcW w:type="dxa" w:w="4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 / Catalyst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MU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2.5</w:t>
            </w:r>
          </w:p>
        </w:tc>
        <w:tc>
          <w:tcPr>
            <w:tcW w:type="dxa" w:w="4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FQ3 FY26 (Jun 24 AMC): rev $41.46B vs $35.84B est (+346% YoY); EPS $25.11 vs $20.20; GAAP GM 84.6%. Q4 guide $50B / 86% GM. PT raised to $1,500 (TD Cowen, BofA).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HOLD - thesis confirmed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NVDA / AVGO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6.5 / 4.0</w:t>
            </w:r>
          </w:p>
        </w:tc>
        <w:tc>
          <w:tcPr>
            <w:tcW w:type="dxa" w:w="4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Bernstein flags both 'absurdly cheap'; AVGO Strong Buy consensus (PT ~$501). Blackwell H2 PT raises persist.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HOLD - NVDA at 7.0% cap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UNH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3.0</w:t>
            </w:r>
          </w:p>
        </w:tc>
        <w:tc>
          <w:tcPr>
            <w:tcW w:type="dxa" w:w="4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Carry-value flag (11th session): prior re-rate ~$412 on six upgrades vs stale tracker carry $510. DOJ/Optum antitrust is the binary risk.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HOLD - resync pending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SOURCED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XOM / EOG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6"/>
                <w:szCs w:val="16"/>
              </w:rPr>
              <w:t xml:space="preserve">3.0 / 2.5</w:t>
            </w:r>
          </w:p>
        </w:tc>
        <w:tc>
          <w:tcPr>
            <w:tcW w:type="dxa" w:w="4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WTI &lt; $70 arms the IPS trim trigger; lower oil pressures integrated/E&amp;P margins.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See Section 6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SOURCED</w:t>
            </w:r>
          </w:p>
        </w:tc>
      </w:tr>
    </w:tbl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3.  Scan 2 - New Opportunities &amp; Watchlist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300"/>
        <w:gridCol w:w="3300"/>
        <w:gridCol w:w="333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Proposed Size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 Trigger / Thesis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Pre-Mortem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MRVL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MED-LOW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4"/>
                <w:szCs w:val="14"/>
              </w:rPr>
              <w:t xml:space="preserve">1.0-1.5%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Pullback required; S&amp;P 500 inclusion (Jun 22) complete, +210% YTD, extended. AI custom-silicon adjacency to AVGO.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Wrong if index-inclusion momentum reverses with no fundamental support; chase risk at highs.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4"/>
                <w:szCs w:val="14"/>
              </w:rPr>
              <w:t xml:space="preserve">1.5-2.0%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Watch trigger unmet (needs &lt;$700 or Q-beat). BofA media top pick.</w:t>
            </w:r>
          </w:p>
        </w:tc>
        <w:tc>
          <w:tcPr>
            <w:tcW w:type="dxa" w:w="33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Wrong if ad cycle softens; no near-term catalyst.</w:t>
            </w:r>
          </w:p>
        </w:tc>
      </w:tr>
    </w:tbl>
    <w:p>
      <w:pPr>
        <w:spacing w:after="3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6"/>
          <w:szCs w:val="16"/>
        </w:rPr>
        <w:t xml:space="preserve">No watchlist trigger is met pre-open; no autonomous entry. Candidates surfaced for monitoring only.</w:t>
      </w:r>
    </w:p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4.  Cash Recommendation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53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Deploy (dip)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INACTIVE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4"/>
                <w:szCs w:val="14"/>
              </w:rPr>
              <w:t xml:space="preserve">NFP &lt;30k &amp; mkt -1.5%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Inverted - inflation hot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Trim (energy)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ARMED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4"/>
                <w:szCs w:val="14"/>
              </w:rPr>
              <w:t xml:space="preserve">WTI sustained &lt; $90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WTI &lt; $70, 4 sessions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Drawdown de-risk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INACTIVE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4"/>
                <w:szCs w:val="14"/>
              </w:rPr>
              <w:t xml:space="preserve">WTD &lt;= -3%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Not breached</w:t>
            </w:r>
          </w:p>
        </w:tc>
      </w:tr>
    </w:tbl>
    <w:p>
      <w:pPr>
        <w:spacing w:after="3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Cash: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15.0% (CONFIRMED), at the self-imposed reactive floor and inside the IPS 10-20% band. The recommended energy trim (Section 6) would raise cash to 16.0%. Posture remains reactive into a hot-inflation, hawkish-Fed regime.</w:t>
      </w:r>
    </w:p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5.  Pending Catalysts - Status Update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200"/>
        <w:gridCol w:w="353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Read-Through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MU FQ3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Jun 24 (done)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CLEARED - beat &amp; raise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Memory/AI thesis confirmed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FOMC (Warsh)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Jun 17 (done)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Hawkish hold 3.50-3.75%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Cut path closed; duration risk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May PCE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Jun 25 (done)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+4.1% YoY - hot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Reinforces defensive posture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Energy trim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Live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4"/>
                <w:szCs w:val="14"/>
              </w:rPr>
              <w:t xml:space="preserve">ARMED - WTI &lt; $70</w:t>
            </w:r>
          </w:p>
        </w:tc>
        <w:tc>
          <w:tcPr>
            <w:tcW w:type="dxa" w:w="353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See Section 6</w:t>
            </w:r>
          </w:p>
        </w:tc>
      </w:tr>
    </w:tbl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6.  Recommended Weight Changes (Today)</w:t>
      </w:r>
    </w:p>
    <w:p>
      <w:pPr>
        <w:spacing w:after="3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18"/>
          <w:szCs w:val="18"/>
        </w:rPr>
        <w:t xml:space="preserve">RECOMMEND - Energy trim (manager approval required; not executed).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With WTI below $70 on a fourth consecutive down session, the IPS sustained-close-below-$90 trim trigger is ARMED. Proposed: trim XOM 3.0% to 2.5% and EOG 2.5% to 2.0%, routing +1.0% to cash (15.0% to 16.0%).</w:t>
      </w:r>
    </w:p>
    <w:p>
      <w:pPr>
        <w:spacing w:after="3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Confidence: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MED.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Size: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-0.5% XOM, -0.5% EOG, +1.0% cash.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Entry trigger: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confirmed close, WTI &lt; $70 (met).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Price stop: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re-add on sustained WTI close &gt; $85.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Thesis stop: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reverse if Hormuz risk re-escalates or the ceasefire fails within 5 sessions.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Pre-mortem: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wrong if the U.S.-Iran framework collapses and supply risk re-prices oil higher before the trim is unwound.</w:t>
      </w:r>
    </w:p>
    <w:p>
      <w:pPr>
        <w:spacing w:after="3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Post-trade IPS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Energy sector 5.5% to 4.5% (&lt; 35% cap); cash 16.0% (within 10-20%); no single position &gt; 7%. Compliant.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All other positions unchanged. MU held at 2.5% target despite the +16% move (drift ~2.9%, within +/-0.5% tolerance); no add at an extended post-print level.</w:t>
      </w:r>
    </w:p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7.  Full Portfolio - 27 Positions + Cash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050"/>
        <w:gridCol w:w="236"/>
        <w:gridCol w:w="1100"/>
        <w:gridCol w:w="2700"/>
        <w:gridCol w:w="105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Wt %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Ticker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36"/>
              <w:left w:type="dxa" w:w="90"/>
              <w:bottom w:type="dxa" w:w="36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Wt 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NVDA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6.5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V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Financials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AMZN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5.5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TSM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META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Comm Svc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4.5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MU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2.5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LLY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Healthcare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4.5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VUG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ETF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2.5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JPM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Financials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4.5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SCHD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ETF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2.5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AVGO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4.0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EOG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Energy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2.5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MSFT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4.0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COST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Cons Staples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2.5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PANW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4.0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DASH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Cons Disc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2.0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ORCL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3.5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NEE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Utilities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2.0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QQQ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ETF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3.5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ABBV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Healthcare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GOOGL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NFLX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Comm Svc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PLTR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CRWD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UNH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Healthcare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INTC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Technology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1.5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XOM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Energy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3.0</w:t>
            </w:r>
          </w:p>
        </w:tc>
        <w:tc>
          <w:tcPr>
            <w:tcW w:type="dxa" w:w="236"/>
          </w:tcPr>
          <w:p/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5"/>
                <w:szCs w:val="15"/>
              </w:rPr>
              <w:t xml:space="preserve">CASH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5"/>
                <w:szCs w:val="15"/>
              </w:rPr>
              <w:t xml:space="preserve">Cash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28"/>
              <w:left w:type="dxa" w:w="90"/>
              <w:bottom w:type="dxa" w:w="28"/>
              <w:right w:type="dxa" w:w="9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15.0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0B6E3D"/>
          <w:sz w:val="18"/>
          <w:szCs w:val="18"/>
        </w:rPr>
        <w:t xml:space="preserve">Portfolio sum verified: 100.0% = 100.0%  ✓</w:t>
      </w:r>
    </w:p>
    <w:p>
      <w:pPr>
        <w:pStyle w:val="Heading1"/>
        <w:spacing w:after="36" w:before="90"/>
      </w:pPr>
      <w:r>
        <w:rPr>
          <w:rFonts w:ascii="Calibri" w:cs="Calibri" w:eastAsia="Calibri" w:hAnsi="Calibri"/>
          <w:b/>
          <w:bCs/>
          <w:color w:val="365F91"/>
          <w:sz w:val="23"/>
          <w:szCs w:val="23"/>
        </w:rPr>
        <w:t xml:space="preserve">8.  Sources &amp; Methodology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Market &amp; PCE: </w:t>
      </w:r>
      <w:r>
        <w:rPr>
          <w:rFonts w:ascii="Calibri" w:cs="Calibri" w:eastAsia="Calibri" w:hAnsi="Calibri"/>
          <w:sz w:val="16"/>
          <w:szCs w:val="16"/>
        </w:rPr>
        <w:t xml:space="preserve">TheStreet, CNBC (Jun 25, 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Micron FQ3: </w:t>
      </w:r>
      <w:r>
        <w:rPr>
          <w:rFonts w:ascii="Calibri" w:cs="Calibri" w:eastAsia="Calibri" w:hAnsi="Calibri"/>
          <w:sz w:val="16"/>
          <w:szCs w:val="16"/>
        </w:rPr>
        <w:t xml:space="preserve">Micron 8-K, CNBC, TheStreet, Investing.com (Jun 24-25, 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Oil / WTI: </w:t>
      </w:r>
      <w:r>
        <w:rPr>
          <w:rFonts w:ascii="Calibri" w:cs="Calibri" w:eastAsia="Calibri" w:hAnsi="Calibri"/>
          <w:sz w:val="16"/>
          <w:szCs w:val="16"/>
        </w:rPr>
        <w:t xml:space="preserve">CNBC, CNN, Crux Investor, Trading Economics (Jun 18-25, 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Analyst reads: </w:t>
      </w:r>
      <w:r>
        <w:rPr>
          <w:rFonts w:ascii="Calibri" w:cs="Calibri" w:eastAsia="Calibri" w:hAnsi="Calibri"/>
          <w:sz w:val="16"/>
          <w:szCs w:val="16"/>
        </w:rPr>
        <w:t xml:space="preserve">Benzinga, TipRanks, CNN (Jun 2026)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Weights ground truth: </w:t>
      </w:r>
      <w:r>
        <w:rPr>
          <w:rFonts w:ascii="Calibri" w:cs="Calibri" w:eastAsia="Calibri" w:hAnsi="Calibri"/>
          <w:sz w:val="16"/>
          <w:szCs w:val="16"/>
        </w:rPr>
        <w:t xml:space="preserve">WM_Growth_Portfolio_Apr2026.xlsx, Holdings sheet (CONFIRMED)</w:t>
      </w:r>
    </w:p>
    <w:p>
      <w:pPr>
        <w:spacing w:after="3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6"/>
          <w:szCs w:val="16"/>
        </w:rPr>
        <w:t xml:space="preserve">Methodology: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6"/>
          <w:szCs w:val="16"/>
        </w:rPr>
        <w:t xml:space="preserve">Figures tagged SOURCED (live/delayed market data retrieved at write time), CONFIRMED (tracker/user ground truth), or CALIBRATED (fit to reconcile a confirmed aggregate). No CALIBRATED figure is used in this report. Tracker carry prices for MU ($235) and UNH ($510) are stale versus market and flagged for quarterly resync; market values, not carry, govern the reads above. Every recommendation carries confidence, size, entry, price stop, thesis stop, and a pre-mortem. IPS hard limits enforced: single &lt;= 7%, sector &lt;= 35%, cash 10-20%, no leverage/options/shorts.</w:t>
      </w:r>
    </w:p>
    <w:sectPr>
      <w:footerReference w:type="default" r:id="rId7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777777"/>
        <w:sz w:val="14"/>
        <w:szCs w:val="14"/>
      </w:rPr>
      <w:t xml:space="preserve">Managed on behalf of wealth-management clients. Past performance is not indicative of future results. Prices are approximate. Not investment advice. Page </w:t>
    </w:r>
    <w:r>
      <w:rPr>
        <w:rFonts w:ascii="Calibri" w:cs="Calibri" w:eastAsia="Calibri" w:hAnsi="Calibri"/>
        <w:i/>
        <w:iCs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Calibri" w:cs="Calibri" w:eastAsia="Calibri" w:hAnsi="Calibri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2026-06-25T15:06:36.478Z</dcterms:created>
  <dcterms:modified xsi:type="dcterms:W3CDTF">2026-06-25T15:06:36.478Z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