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1A1A1A"/>
          <w:sz w:val="28"/>
        </w:rPr>
        <w:t>DAILY PRE-MARKET</w:t>
      </w:r>
    </w:p>
    <w:p>
      <w:r>
        <w:rPr>
          <w:rFonts w:ascii="Calibri" w:hAnsi="Calibri"/>
          <w:b/>
          <w:i w:val="0"/>
          <w:color w:val="1A1A1A"/>
          <w:sz w:val="22"/>
        </w:rPr>
        <w:t>WM Growth Portfolio</w:t>
      </w:r>
    </w:p>
    <w:p>
      <w:pPr>
        <w:pBdr>
          <w:bottom w:val="single" w:sz="6" w:space="1" w:color="BFBFBF"/>
        </w:pBdr>
      </w:pPr>
      <w:r>
        <w:rPr>
          <w:rFonts w:ascii="Calibri" w:hAnsi="Calibri"/>
          <w:b w:val="0"/>
          <w:i/>
          <w:color w:val="707070"/>
          <w:sz w:val="18"/>
        </w:rPr>
        <w:t>2026-05-01   |   IPS v1.0   |   Report v2.0 (grayscale institutional)</w:t>
      </w:r>
    </w:p>
    <w:p>
      <w:pPr>
        <w:pBdr>
          <w:bottom w:val="single" w:sz="6" w:space="1" w:color="BFBFBF"/>
        </w:pBdr>
      </w:pPr>
      <w:r>
        <w:rPr>
          <w:rFonts w:ascii="Calibri" w:hAnsi="Calibri"/>
          <w:b/>
          <w:i w:val="0"/>
          <w:color w:val="1A1A1A"/>
          <w:sz w:val="22"/>
        </w:rPr>
        <w:t>1. MARKET SNAPSHOT</w:t>
      </w:r>
    </w:p>
    <w:tbl>
      <w:tblPr>
        <w:tblW w:type="auto" w:w="0"/>
        <w:tblLayout w:type="fixed"/>
        <w:tblLook w:firstColumn="1" w:firstRow="1" w:lastColumn="0" w:lastRow="0" w:noHBand="0" w:noVBand="1" w:val="04A0"/>
      </w:tblPr>
      <w:tblGrid>
        <w:gridCol w:w="2664"/>
        <w:gridCol w:w="2664"/>
        <w:gridCol w:w="2664"/>
        <w:gridCol w:w="2664"/>
      </w:tblGrid>
      <w:tr>
        <w:tc>
          <w:tcPr>
            <w:tcW w:type="dxa" w:w="3456"/>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Indicator</w:t>
            </w:r>
          </w:p>
        </w:tc>
        <w:tc>
          <w:tcPr>
            <w:tcW w:type="dxa" w:w="2160"/>
            <w:vAlign w:val="center"/>
            <w:shd w:val="clear" w:color="auto" w:fill="ECECEC"/>
            <w:tcBorders>
              <w:top w:val="single" w:sz="4" w:color="BFBFBF"/>
              <w:left w:val="single" w:sz="4" w:color="BFBFBF"/>
              <w:bottom w:val="single" w:sz="4" w:color="BFBFBF"/>
              <w:right w:val="single" w:sz="4" w:color="BFBFBF"/>
            </w:tcBorders>
          </w:tcPr>
          <w:p>
            <w:pPr>
              <w:jc w:val="right"/>
            </w:pPr>
            <w:r/>
            <w:r>
              <w:rPr>
                <w:rFonts w:ascii="Calibri" w:hAnsi="Calibri"/>
                <w:b/>
                <w:i w:val="0"/>
                <w:color w:val="1A1A1A"/>
                <w:sz w:val="18"/>
              </w:rPr>
              <w:t>Level</w:t>
            </w:r>
          </w:p>
        </w:tc>
        <w:tc>
          <w:tcPr>
            <w:tcW w:type="dxa" w:w="3312"/>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Move</w:t>
            </w:r>
          </w:p>
        </w:tc>
        <w:tc>
          <w:tcPr>
            <w:tcW w:type="dxa" w:w="1440"/>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Tag</w:t>
            </w:r>
          </w:p>
        </w:tc>
      </w:tr>
      <w:tr>
        <w:tc>
          <w:tcPr>
            <w:tcW w:type="dxa" w:w="345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S&amp;P 500 (Apr 30 close)</w:t>
            </w:r>
          </w:p>
        </w:tc>
        <w:tc>
          <w:tcPr>
            <w:tcW w:type="dxa" w:w="2160"/>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7,209.01</w:t>
            </w:r>
          </w:p>
        </w:tc>
        <w:tc>
          <w:tcPr>
            <w:tcW w:type="dxa" w:w="3312"/>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+1.0% d/d ; +10.4% MTD</w:t>
            </w:r>
          </w:p>
        </w:tc>
        <w:tc>
          <w:tcPr>
            <w:tcW w:type="dxa" w:w="144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SOURCED</w:t>
            </w:r>
          </w:p>
        </w:tc>
      </w:tr>
      <w:tr>
        <w:tc>
          <w:tcPr>
            <w:tcW w:type="dxa" w:w="345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Nasdaq Composite (Apr 30 close)</w:t>
            </w:r>
          </w:p>
        </w:tc>
        <w:tc>
          <w:tcPr>
            <w:tcW w:type="dxa" w:w="2160"/>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24,892.31</w:t>
            </w:r>
          </w:p>
        </w:tc>
        <w:tc>
          <w:tcPr>
            <w:tcW w:type="dxa" w:w="3312"/>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+0.9% d/d ; +15.3% MTD</w:t>
            </w:r>
          </w:p>
        </w:tc>
        <w:tc>
          <w:tcPr>
            <w:tcW w:type="dxa" w:w="144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SOURCED</w:t>
            </w:r>
          </w:p>
        </w:tc>
      </w:tr>
      <w:tr>
        <w:tc>
          <w:tcPr>
            <w:tcW w:type="dxa" w:w="345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S&amp;P 500 futures (pre-mkt)</w:t>
            </w:r>
          </w:p>
        </w:tc>
        <w:tc>
          <w:tcPr>
            <w:tcW w:type="dxa" w:w="2160"/>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7,253.25</w:t>
            </w:r>
          </w:p>
        </w:tc>
        <w:tc>
          <w:tcPr>
            <w:tcW w:type="dxa" w:w="3312"/>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+0.13%</w:t>
            </w:r>
          </w:p>
        </w:tc>
        <w:tc>
          <w:tcPr>
            <w:tcW w:type="dxa" w:w="144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SOURCED</w:t>
            </w:r>
          </w:p>
        </w:tc>
      </w:tr>
      <w:tr>
        <w:tc>
          <w:tcPr>
            <w:tcW w:type="dxa" w:w="345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Nasdaq futures (pre-mkt)</w:t>
            </w:r>
          </w:p>
        </w:tc>
        <w:tc>
          <w:tcPr>
            <w:tcW w:type="dxa" w:w="2160"/>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27,566.00</w:t>
            </w:r>
          </w:p>
        </w:tc>
        <w:tc>
          <w:tcPr>
            <w:tcW w:type="dxa" w:w="3312"/>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-0.11%</w:t>
            </w:r>
          </w:p>
        </w:tc>
        <w:tc>
          <w:tcPr>
            <w:tcW w:type="dxa" w:w="144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SOURCED</w:t>
            </w:r>
          </w:p>
        </w:tc>
      </w:tr>
      <w:tr>
        <w:tc>
          <w:tcPr>
            <w:tcW w:type="dxa" w:w="345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VIX</w:t>
            </w:r>
          </w:p>
        </w:tc>
        <w:tc>
          <w:tcPr>
            <w:tcW w:type="dxa" w:w="2160"/>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17.08</w:t>
            </w:r>
          </w:p>
        </w:tc>
        <w:tc>
          <w:tcPr>
            <w:tcW w:type="dxa" w:w="3312"/>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+1.12%</w:t>
            </w:r>
          </w:p>
        </w:tc>
        <w:tc>
          <w:tcPr>
            <w:tcW w:type="dxa" w:w="144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SOURCED</w:t>
            </w:r>
          </w:p>
        </w:tc>
      </w:tr>
      <w:tr>
        <w:tc>
          <w:tcPr>
            <w:tcW w:type="dxa" w:w="345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WTI crude (Jun)</w:t>
            </w:r>
          </w:p>
        </w:tc>
        <w:tc>
          <w:tcPr>
            <w:tcW w:type="dxa" w:w="2160"/>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~$104-106</w:t>
            </w:r>
          </w:p>
        </w:tc>
        <w:tc>
          <w:tcPr>
            <w:tcW w:type="dxa" w:w="3312"/>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elevated; Hormuz restricted</w:t>
            </w:r>
          </w:p>
        </w:tc>
        <w:tc>
          <w:tcPr>
            <w:tcW w:type="dxa" w:w="144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SOURCED</w:t>
            </w:r>
          </w:p>
        </w:tc>
      </w:tr>
      <w:tr>
        <w:tc>
          <w:tcPr>
            <w:tcW w:type="dxa" w:w="345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Brent (Jul)</w:t>
            </w:r>
          </w:p>
        </w:tc>
        <w:tc>
          <w:tcPr>
            <w:tcW w:type="dxa" w:w="2160"/>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~$111.63</w:t>
            </w:r>
          </w:p>
        </w:tc>
        <w:tc>
          <w:tcPr>
            <w:tcW w:type="dxa" w:w="3312"/>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+1.11%</w:t>
            </w:r>
          </w:p>
        </w:tc>
        <w:tc>
          <w:tcPr>
            <w:tcW w:type="dxa" w:w="144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SOURCED</w:t>
            </w:r>
          </w:p>
        </w:tc>
      </w:tr>
      <w:tr>
        <w:tc>
          <w:tcPr>
            <w:tcW w:type="dxa" w:w="345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Fed funds target</w:t>
            </w:r>
          </w:p>
        </w:tc>
        <w:tc>
          <w:tcPr>
            <w:tcW w:type="dxa" w:w="2160"/>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3.50-3.75%</w:t>
            </w:r>
          </w:p>
        </w:tc>
        <w:tc>
          <w:tcPr>
            <w:tcW w:type="dxa" w:w="3312"/>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FOMC HOLD (Apr 29; 8-4 dissent)</w:t>
            </w:r>
          </w:p>
        </w:tc>
        <w:tc>
          <w:tcPr>
            <w:tcW w:type="dxa" w:w="144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SOURCED</w:t>
            </w:r>
          </w:p>
        </w:tc>
      </w:tr>
    </w:tbl>
    <w:p>
      <w:pPr>
        <w:spacing w:after="40"/>
      </w:pPr>
      <w:r>
        <w:rPr>
          <w:rFonts w:ascii="Calibri" w:hAnsi="Calibri"/>
          <w:b w:val="0"/>
          <w:i w:val="0"/>
          <w:color w:val="1A1A1A"/>
          <w:sz w:val="20"/>
        </w:rPr>
        <w:t>April 2026 was the strongest month for U.S. equities since November 2020. The Mag-4 (MSFT/META/GOOGL/AMZN) printed Apr 29 AMC; AAPL/LLY/ABBV printed Apr 30; XOM prints today BMO. Capex digestion at MSFT and META offset by GOOGL/AMZN cloud strength. Powell will remain on the Board after his term as Chair.</w:t>
      </w:r>
    </w:p>
    <w:p>
      <w:pPr>
        <w:pBdr>
          <w:bottom w:val="single" w:sz="6" w:space="1" w:color="BFBFBF"/>
        </w:pBdr>
      </w:pPr>
      <w:r>
        <w:rPr>
          <w:rFonts w:ascii="Calibri" w:hAnsi="Calibri"/>
          <w:b/>
          <w:i w:val="0"/>
          <w:color w:val="1A1A1A"/>
          <w:sz w:val="22"/>
        </w:rPr>
        <w:t>2. SCAN 1 — HOLDINGS</w:t>
      </w:r>
    </w:p>
    <w:tbl>
      <w:tblPr>
        <w:tblW w:type="auto" w:w="0"/>
        <w:tblLayout w:type="fixed"/>
        <w:tblLook w:firstColumn="1" w:firstRow="1" w:lastColumn="0" w:lastRow="0" w:noHBand="0" w:noVBand="1" w:val="04A0"/>
      </w:tblPr>
      <w:tblGrid>
        <w:gridCol w:w="2664"/>
        <w:gridCol w:w="2664"/>
        <w:gridCol w:w="2664"/>
        <w:gridCol w:w="2664"/>
      </w:tblGrid>
      <w:tr>
        <w:tc>
          <w:tcPr>
            <w:tcW w:type="dxa" w:w="1728"/>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Ticker</w:t>
            </w:r>
          </w:p>
        </w:tc>
        <w:tc>
          <w:tcPr>
            <w:tcW w:type="dxa" w:w="1008"/>
            <w:vAlign w:val="center"/>
            <w:shd w:val="clear" w:color="auto" w:fill="ECECEC"/>
            <w:tcBorders>
              <w:top w:val="single" w:sz="4" w:color="BFBFBF"/>
              <w:left w:val="single" w:sz="4" w:color="BFBFBF"/>
              <w:bottom w:val="single" w:sz="4" w:color="BFBFBF"/>
              <w:right w:val="single" w:sz="4" w:color="BFBFBF"/>
            </w:tcBorders>
          </w:tcPr>
          <w:p>
            <w:pPr>
              <w:jc w:val="right"/>
            </w:pPr>
            <w:r/>
            <w:r>
              <w:rPr>
                <w:rFonts w:ascii="Calibri" w:hAnsi="Calibri"/>
                <w:b/>
                <w:i w:val="0"/>
                <w:color w:val="1A1A1A"/>
                <w:sz w:val="18"/>
              </w:rPr>
              <w:t>Wt %</w:t>
            </w:r>
          </w:p>
        </w:tc>
        <w:tc>
          <w:tcPr>
            <w:tcW w:type="dxa" w:w="6768"/>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Headline / Catalyst</w:t>
            </w:r>
          </w:p>
        </w:tc>
        <w:tc>
          <w:tcPr>
            <w:tcW w:type="dxa" w:w="1296"/>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Action</w:t>
            </w:r>
          </w:p>
        </w:tc>
      </w:tr>
      <w:tr>
        <w:tc>
          <w:tcPr>
            <w:tcW w:type="dxa" w:w="172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MSFT</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4.0</w:t>
            </w:r>
          </w:p>
        </w:tc>
        <w:tc>
          <w:tcPr>
            <w:tcW w:type="dxa" w:w="676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Q3 FY26 beat: rev $82.9B (+18%), EPS $4.27, Azure +40%, MS Cloud RPO $627B (+99%), AI ARR $37B (+123%); FY26 capex guide $190B (+61%). Stock -5% Apr 30 on capex digestion. [SOURCED]</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r>
        <w:tc>
          <w:tcPr>
            <w:tcW w:type="dxa" w:w="172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META</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4.5</w:t>
            </w:r>
          </w:p>
        </w:tc>
        <w:tc>
          <w:tcPr>
            <w:tcW w:type="dxa" w:w="676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Q1 beat: rev $56.31B (+33%), EPS $7.31, op margin 41%; capex raised to $125-145B from $115-135B. Stock -7-10% AH/Apr 30 on capex raise. [SOURCED]</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r>
        <w:tc>
          <w:tcPr>
            <w:tcW w:type="dxa" w:w="172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GOOGL</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3.0</w:t>
            </w:r>
          </w:p>
        </w:tc>
        <w:tc>
          <w:tcPr>
            <w:tcW w:type="dxa" w:w="676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Q1 decisive beat: rev $109.9B (+20%), EPS $2.62; GCP $20.03B (+28%, op margin &gt;17%); compute-constrained. Stock +8% Apr 30. [SOURCED]</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r>
        <w:tc>
          <w:tcPr>
            <w:tcW w:type="dxa" w:w="172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AMZN</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5.5</w:t>
            </w:r>
          </w:p>
        </w:tc>
        <w:tc>
          <w:tcPr>
            <w:tcW w:type="dxa" w:w="676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Q1 beat: rev $181.5B (+17%), EPS $2.78; AWS $37.59B (+28%, 15-quarter high); chips run-rate &gt;$20B. [SOURCED]</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r>
        <w:tc>
          <w:tcPr>
            <w:tcW w:type="dxa" w:w="172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LLY</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4.5</w:t>
            </w:r>
          </w:p>
        </w:tc>
        <w:tc>
          <w:tcPr>
            <w:tcW w:type="dxa" w:w="676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Q1 big beat: rev $19.80B (+56%), EPS $8.55 vs $6.85 cons; Mounjaro/Zepbound $12.8B; FY26 guide raised to $82-85B. Stock +9% Apr 30. [SOURCED]</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r>
        <w:tc>
          <w:tcPr>
            <w:tcW w:type="dxa" w:w="172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ABBV</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1.5</w:t>
            </w:r>
          </w:p>
        </w:tc>
        <w:tc>
          <w:tcPr>
            <w:tcW w:type="dxa" w:w="676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Q1 beat: rev $15.0B (+12.4%), Adj EPS $2.65; Skyrizi $4.48B (+30.9%), Rinvoq $2.12B (+23.3%); FY26 EPS guide $14.08-14.28. [SOURCED]</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r>
        <w:tc>
          <w:tcPr>
            <w:tcW w:type="dxa" w:w="172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XOM</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3.0</w:t>
            </w:r>
          </w:p>
        </w:tc>
        <w:tc>
          <w:tcPr>
            <w:tcW w:type="dxa" w:w="676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Q1 today (BMO): EPS $1.00 (Iran-hedge timing -$4B); ex-items $1.16; ex-timing $2.09; Q2 div $1.03/sh; pre-mkt +1%. [SOURCED]</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r>
        <w:tc>
          <w:tcPr>
            <w:tcW w:type="dxa" w:w="172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EOG</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2.5</w:t>
            </w:r>
          </w:p>
        </w:tc>
        <w:tc>
          <w:tcPr>
            <w:tcW w:type="dxa" w:w="676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Q1 prints May 6 AMC. WTI ~$104-106 supports rebuilt 2.5%. [SOURCED]</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r>
        <w:tc>
          <w:tcPr>
            <w:tcW w:type="dxa" w:w="172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NVDA</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6.5</w:t>
            </w:r>
          </w:p>
        </w:tc>
        <w:tc>
          <w:tcPr>
            <w:tcW w:type="dxa" w:w="676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Pre-mkt -4.2% on hyperscaler-capex digestion. Earnings May 20. At single-name cap. [SOURCED]</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r>
        <w:tc>
          <w:tcPr>
            <w:tcW w:type="dxa" w:w="172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PANW</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4.0</w:t>
            </w:r>
          </w:p>
        </w:tc>
        <w:tc>
          <w:tcPr>
            <w:tcW w:type="dxa" w:w="676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OpenAI in-platform security feature pressured sector Apr 30. PANW announced AI Gateway + plan to acquire Portkey. [SOURCED]</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r>
        <w:tc>
          <w:tcPr>
            <w:tcW w:type="dxa" w:w="172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CRWD</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1.5</w:t>
            </w:r>
          </w:p>
        </w:tc>
        <w:tc>
          <w:tcPr>
            <w:tcW w:type="dxa" w:w="676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Recovered to ~$445.75 from $361 low; Mizuho prior upgrade; sector overhang persists. [SOURCED]</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r>
        <w:tc>
          <w:tcPr>
            <w:tcW w:type="dxa" w:w="172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V</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3.0</w:t>
            </w:r>
          </w:p>
        </w:tc>
        <w:tc>
          <w:tcPr>
            <w:tcW w:type="dxa" w:w="676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Q2 beat (Apr 28): rev $11.2B (+17%), EPS $3.31, $20B buyback, FY guide raised. +5.2% post-print. [SOURCED]</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r>
        <w:tc>
          <w:tcPr>
            <w:tcW w:type="dxa" w:w="172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UNH</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3.0</w:t>
            </w:r>
          </w:p>
        </w:tc>
        <w:tc>
          <w:tcPr>
            <w:tcW w:type="dxa" w:w="676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JPM PT raised to $420 (from $389); Erste upgrade to Buy. Tracker carrying $510 vs market ~$370 — flag for next reconciliation. [SOURCED / FLAG]</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 / FLAG</w:t>
            </w:r>
          </w:p>
        </w:tc>
      </w:tr>
      <w:tr>
        <w:tc>
          <w:tcPr>
            <w:tcW w:type="dxa" w:w="172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ORCL/PLTR/AVGO/MU/TSM</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various</w:t>
            </w:r>
          </w:p>
        </w:tc>
        <w:tc>
          <w:tcPr>
            <w:tcW w:type="dxa" w:w="676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AI-complex pressure persists; PLTR ~$139 (+0.83%); ORCL still digesting OpenAI/Stargate concentration narrative. [SOURCED]</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r>
        <w:tc>
          <w:tcPr>
            <w:tcW w:type="dxa" w:w="172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Other (JPM/COST/DASH/NEE/NFLX/QQQ/VUG/SCHD/INTC)</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various</w:t>
            </w:r>
          </w:p>
        </w:tc>
        <w:tc>
          <w:tcPr>
            <w:tcW w:type="dxa" w:w="676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No new catalysts overnight. INTC +20%+ since Apr 24 entry. [SOURCED]</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w:t>
            </w:r>
          </w:p>
        </w:tc>
      </w:tr>
    </w:tbl>
    <w:p>
      <w:pPr>
        <w:pBdr>
          <w:bottom w:val="single" w:sz="6" w:space="1" w:color="BFBFBF"/>
        </w:pBdr>
      </w:pPr>
      <w:r>
        <w:rPr>
          <w:rFonts w:ascii="Calibri" w:hAnsi="Calibri"/>
          <w:b/>
          <w:i w:val="0"/>
          <w:color w:val="1A1A1A"/>
          <w:sz w:val="22"/>
        </w:rPr>
        <w:t>3. SCAN 2 — WATCHLIST OPPORTUNITIES</w:t>
      </w:r>
    </w:p>
    <w:p>
      <w:pPr>
        <w:spacing w:after="40"/>
      </w:pPr>
      <w:r>
        <w:rPr>
          <w:rFonts w:ascii="Calibri" w:hAnsi="Calibri"/>
          <w:b w:val="0"/>
          <w:i w:val="0"/>
          <w:color w:val="1A1A1A"/>
          <w:sz w:val="20"/>
        </w:rPr>
        <w:t>No new entry today. Three watchlist names reviewed; one trigger ambiguously fired but pre-mortem fails review; two require post-print clarity.</w:t>
      </w:r>
    </w:p>
    <w:tbl>
      <w:tblPr>
        <w:tblW w:type="auto" w:w="0"/>
        <w:tblLayout w:type="fixed"/>
        <w:tblLook w:firstColumn="1" w:firstRow="1" w:lastColumn="0" w:lastRow="0" w:noHBand="0" w:noVBand="1" w:val="04A0"/>
      </w:tblPr>
      <w:tblGrid>
        <w:gridCol w:w="1522"/>
        <w:gridCol w:w="1522"/>
        <w:gridCol w:w="1522"/>
        <w:gridCol w:w="1522"/>
        <w:gridCol w:w="1522"/>
        <w:gridCol w:w="1522"/>
        <w:gridCol w:w="1522"/>
      </w:tblGrid>
      <w:tr>
        <w:tc>
          <w:tcPr>
            <w:tcW w:type="dxa" w:w="1008"/>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Ticker</w:t>
            </w:r>
          </w:p>
        </w:tc>
        <w:tc>
          <w:tcPr>
            <w:tcW w:type="dxa" w:w="864"/>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Conf.</w:t>
            </w:r>
          </w:p>
        </w:tc>
        <w:tc>
          <w:tcPr>
            <w:tcW w:type="dxa" w:w="864"/>
            <w:vAlign w:val="center"/>
            <w:shd w:val="clear" w:color="auto" w:fill="ECECEC"/>
            <w:tcBorders>
              <w:top w:val="single" w:sz="4" w:color="BFBFBF"/>
              <w:left w:val="single" w:sz="4" w:color="BFBFBF"/>
              <w:bottom w:val="single" w:sz="4" w:color="BFBFBF"/>
              <w:right w:val="single" w:sz="4" w:color="BFBFBF"/>
            </w:tcBorders>
          </w:tcPr>
          <w:p>
            <w:pPr>
              <w:jc w:val="right"/>
            </w:pPr>
            <w:r/>
            <w:r>
              <w:rPr>
                <w:rFonts w:ascii="Calibri" w:hAnsi="Calibri"/>
                <w:b/>
                <w:i w:val="0"/>
                <w:color w:val="1A1A1A"/>
                <w:sz w:val="18"/>
              </w:rPr>
              <w:t>Size</w:t>
            </w:r>
          </w:p>
        </w:tc>
        <w:tc>
          <w:tcPr>
            <w:tcW w:type="dxa" w:w="2448"/>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Entry trigger</w:t>
            </w:r>
          </w:p>
        </w:tc>
        <w:tc>
          <w:tcPr>
            <w:tcW w:type="dxa" w:w="1008"/>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Px stop</w:t>
            </w:r>
          </w:p>
        </w:tc>
        <w:tc>
          <w:tcPr>
            <w:tcW w:type="dxa" w:w="2016"/>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Thesis stop</w:t>
            </w:r>
          </w:p>
        </w:tc>
        <w:tc>
          <w:tcPr>
            <w:tcW w:type="dxa" w:w="2592"/>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Pre-mortem</w:t>
            </w:r>
          </w:p>
        </w:tc>
      </w:tr>
      <w:tr>
        <w:tc>
          <w:tcPr>
            <w:tcW w:type="dxa" w:w="100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SPOT</w:t>
            </w:r>
          </w:p>
        </w:tc>
        <w:tc>
          <w:tcPr>
            <w:tcW w:type="dxa" w:w="864"/>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MED</w:t>
            </w:r>
          </w:p>
        </w:tc>
        <w:tc>
          <w:tcPr>
            <w:tcW w:type="dxa" w:w="864"/>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1.5%</w:t>
            </w:r>
          </w:p>
        </w:tc>
        <w:tc>
          <w:tcPr>
            <w:tcW w:type="dxa" w:w="244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Q1 EPS beat met; ad-rev miss invalidates trigger spirit. Re-trigger only on close &lt;$650.</w:t>
            </w:r>
          </w:p>
        </w:tc>
        <w:tc>
          <w:tcPr>
            <w:tcW w:type="dxa" w:w="100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$640</w:t>
            </w:r>
          </w:p>
        </w:tc>
        <w:tc>
          <w:tcPr>
            <w:tcW w:type="dxa" w:w="201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Two consecutive quarters of premium-sub net-add deceleration</w:t>
            </w:r>
          </w:p>
        </w:tc>
        <w:tc>
          <w:tcPr>
            <w:tcW w:type="dxa" w:w="2592"/>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Wrong if ad-tier monetization is structurally impaired and FCF disappointment compounds (DM ad-rev miss already flagged).</w:t>
            </w:r>
          </w:p>
        </w:tc>
      </w:tr>
      <w:tr>
        <w:tc>
          <w:tcPr>
            <w:tcW w:type="dxa" w:w="100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ARM</w:t>
            </w:r>
          </w:p>
        </w:tc>
        <w:tc>
          <w:tcPr>
            <w:tcW w:type="dxa" w:w="864"/>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LOW</w:t>
            </w:r>
          </w:p>
        </w:tc>
        <w:tc>
          <w:tcPr>
            <w:tcW w:type="dxa" w:w="864"/>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1.0%</w:t>
            </w:r>
          </w:p>
        </w:tc>
        <w:tc>
          <w:tcPr>
            <w:tcW w:type="dxa" w:w="244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Post-May 6 print: enter only if revenue beats by &gt;5% AND stock down -3 to -8% on day.</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10% below post-print close</w:t>
            </w:r>
          </w:p>
        </w:tc>
        <w:tc>
          <w:tcPr>
            <w:tcW w:type="dxa" w:w="201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Royalty rev growth &lt;15% in next 2 quarters</w:t>
            </w:r>
          </w:p>
        </w:tc>
        <w:tc>
          <w:tcPr>
            <w:tcW w:type="dxa" w:w="2592"/>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Wrong if 270x P/E re-rates lower regardless of earnings; risk/reward asymmetric pre-print.</w:t>
            </w:r>
          </w:p>
        </w:tc>
      </w:tr>
      <w:tr>
        <w:tc>
          <w:tcPr>
            <w:tcW w:type="dxa" w:w="100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INTC</w:t>
            </w:r>
          </w:p>
        </w:tc>
        <w:tc>
          <w:tcPr>
            <w:tcW w:type="dxa" w:w="864"/>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w:t>
            </w:r>
          </w:p>
        </w:tc>
        <w:tc>
          <w:tcPr>
            <w:tcW w:type="dxa" w:w="864"/>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w:t>
            </w:r>
          </w:p>
        </w:tc>
        <w:tc>
          <w:tcPr>
            <w:tcW w:type="dxa" w:w="244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REMOVED from watchlist — entered Apr 24 at 1.5%; +20%+ since.</w:t>
            </w:r>
          </w:p>
        </w:tc>
        <w:tc>
          <w:tcPr>
            <w:tcW w:type="dxa" w:w="100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n/a</w:t>
            </w:r>
          </w:p>
        </w:tc>
        <w:tc>
          <w:tcPr>
            <w:tcW w:type="dxa" w:w="201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n/a</w:t>
            </w:r>
          </w:p>
        </w:tc>
        <w:tc>
          <w:tcPr>
            <w:tcW w:type="dxa" w:w="2592"/>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n/a (now a holding).</w:t>
            </w:r>
          </w:p>
        </w:tc>
      </w:tr>
    </w:tbl>
    <w:p>
      <w:pPr>
        <w:pBdr>
          <w:bottom w:val="single" w:sz="6" w:space="1" w:color="BFBFBF"/>
        </w:pBdr>
      </w:pPr>
      <w:r>
        <w:rPr>
          <w:rFonts w:ascii="Calibri" w:hAnsi="Calibri"/>
          <w:b/>
          <w:i w:val="0"/>
          <w:color w:val="1A1A1A"/>
          <w:sz w:val="22"/>
        </w:rPr>
        <w:t>4. CASH RECOMMENDATION</w:t>
      </w:r>
    </w:p>
    <w:p>
      <w:pPr>
        <w:spacing w:after="40"/>
      </w:pPr>
      <w:r>
        <w:rPr>
          <w:rFonts w:ascii="Calibri" w:hAnsi="Calibri"/>
          <w:b w:val="0"/>
          <w:i w:val="0"/>
          <w:color w:val="1A1A1A"/>
          <w:sz w:val="20"/>
        </w:rPr>
        <w:t>Pre-action cash 15.0% [CONFIRMED via Holdings tracker]. At hard floor; zero capacity for discretionary adds. Recommendation: HOLD 15.0%. Rationale: macro tape is bifurcated (capex digestion vs cloud reacceleration), Iran/Hormuz situation precarious despite ceasefire halting the 60-day deadline, and energy regime supportive of held weights — a buffer rebuild via discretionary trim is the only pathway to new entries until a thesis-driven exit triggers fresh capacity.</w:t>
      </w:r>
    </w:p>
    <w:p>
      <w:pPr>
        <w:pBdr>
          <w:bottom w:val="single" w:sz="6" w:space="1" w:color="BFBFBF"/>
        </w:pBdr>
      </w:pPr>
      <w:r>
        <w:rPr>
          <w:rFonts w:ascii="Calibri" w:hAnsi="Calibri"/>
          <w:b/>
          <w:i w:val="0"/>
          <w:color w:val="1A1A1A"/>
          <w:sz w:val="22"/>
        </w:rPr>
        <w:t>5. PENDING CATALYSTS (NEXT 5 SESSIONS)</w:t>
      </w:r>
    </w:p>
    <w:tbl>
      <w:tblPr>
        <w:tblW w:type="auto" w:w="0"/>
        <w:tblLayout w:type="fixed"/>
        <w:tblLook w:firstColumn="1" w:firstRow="1" w:lastColumn="0" w:lastRow="0" w:noHBand="0" w:noVBand="1" w:val="04A0"/>
      </w:tblPr>
      <w:tblGrid>
        <w:gridCol w:w="3552"/>
        <w:gridCol w:w="3552"/>
        <w:gridCol w:w="3552"/>
      </w:tblGrid>
      <w:tr>
        <w:tc>
          <w:tcPr>
            <w:tcW w:type="dxa" w:w="2016"/>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Date</w:t>
            </w:r>
          </w:p>
        </w:tc>
        <w:tc>
          <w:tcPr>
            <w:tcW w:type="dxa" w:w="3168"/>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Item</w:t>
            </w:r>
          </w:p>
        </w:tc>
        <w:tc>
          <w:tcPr>
            <w:tcW w:type="dxa" w:w="6336"/>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Status / read-through</w:t>
            </w:r>
          </w:p>
        </w:tc>
      </w:tr>
      <w:tr>
        <w:tc>
          <w:tcPr>
            <w:tcW w:type="dxa" w:w="201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May 1 (today, BMO)</w:t>
            </w:r>
          </w:p>
        </w:tc>
        <w:tc>
          <w:tcPr>
            <w:tcW w:type="dxa" w:w="316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XOM Q1 print</w:t>
            </w:r>
          </w:p>
        </w:tc>
        <w:tc>
          <w:tcPr>
            <w:tcW w:type="dxa" w:w="633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Headline EPS impacted by Iran-hedge timing; ex-items beat. Hold 3.0%.</w:t>
            </w:r>
          </w:p>
        </w:tc>
      </w:tr>
      <w:tr>
        <w:tc>
          <w:tcPr>
            <w:tcW w:type="dxa" w:w="201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May 1 (today, BMO)</w:t>
            </w:r>
          </w:p>
        </w:tc>
        <w:tc>
          <w:tcPr>
            <w:tcW w:type="dxa" w:w="316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CVX Q1 print</w:t>
            </w:r>
          </w:p>
        </w:tc>
        <w:tc>
          <w:tcPr>
            <w:tcW w:type="dxa" w:w="633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Read-through for XOM/EOG; not held.</w:t>
            </w:r>
          </w:p>
        </w:tc>
      </w:tr>
      <w:tr>
        <w:tc>
          <w:tcPr>
            <w:tcW w:type="dxa" w:w="201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May 1</w:t>
            </w:r>
          </w:p>
        </w:tc>
        <w:tc>
          <w:tcPr>
            <w:tcW w:type="dxa" w:w="316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Apr nonfarm payrolls</w:t>
            </w:r>
          </w:p>
        </w:tc>
        <w:tc>
          <w:tcPr>
            <w:tcW w:type="dxa" w:w="633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Watch wage and labor-force participation; informs FOMC pass-through narrative.</w:t>
            </w:r>
          </w:p>
        </w:tc>
      </w:tr>
      <w:tr>
        <w:tc>
          <w:tcPr>
            <w:tcW w:type="dxa" w:w="201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May 6 (AMC)</w:t>
            </w:r>
          </w:p>
        </w:tc>
        <w:tc>
          <w:tcPr>
            <w:tcW w:type="dxa" w:w="316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EOG Q1 print</w:t>
            </w:r>
          </w:p>
        </w:tc>
        <w:tc>
          <w:tcPr>
            <w:tcW w:type="dxa" w:w="633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Hold 2.5% into print; WTI regime supportive.</w:t>
            </w:r>
          </w:p>
        </w:tc>
      </w:tr>
      <w:tr>
        <w:tc>
          <w:tcPr>
            <w:tcW w:type="dxa" w:w="201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May 6 (AMC)</w:t>
            </w:r>
          </w:p>
        </w:tc>
        <w:tc>
          <w:tcPr>
            <w:tcW w:type="dxa" w:w="316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ARM Q4 FY26 print</w:t>
            </w:r>
          </w:p>
        </w:tc>
        <w:tc>
          <w:tcPr>
            <w:tcW w:type="dxa" w:w="633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Watchlist; defer entry until after print.</w:t>
            </w:r>
          </w:p>
        </w:tc>
      </w:tr>
      <w:tr>
        <w:tc>
          <w:tcPr>
            <w:tcW w:type="dxa" w:w="201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May 13</w:t>
            </w:r>
          </w:p>
        </w:tc>
        <w:tc>
          <w:tcPr>
            <w:tcW w:type="dxa" w:w="3168"/>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AAPL / NVDA / MSFT supply-chain reads</w:t>
            </w:r>
          </w:p>
        </w:tc>
        <w:tc>
          <w:tcPr>
            <w:tcW w:type="dxa" w:w="633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Monitor; no held action.</w:t>
            </w:r>
          </w:p>
        </w:tc>
      </w:tr>
      <w:tr>
        <w:tc>
          <w:tcPr>
            <w:tcW w:type="dxa" w:w="201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May 20</w:t>
            </w:r>
          </w:p>
        </w:tc>
        <w:tc>
          <w:tcPr>
            <w:tcW w:type="dxa" w:w="3168"/>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NVDA Q1 print</w:t>
            </w:r>
          </w:p>
        </w:tc>
        <w:tc>
          <w:tcPr>
            <w:tcW w:type="dxa" w:w="633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Position at IPS single-name cap; binary event ahead.</w:t>
            </w:r>
          </w:p>
        </w:tc>
      </w:tr>
    </w:tbl>
    <w:p>
      <w:pPr>
        <w:pBdr>
          <w:bottom w:val="single" w:sz="6" w:space="1" w:color="BFBFBF"/>
        </w:pBdr>
      </w:pPr>
      <w:r>
        <w:rPr>
          <w:rFonts w:ascii="Calibri" w:hAnsi="Calibri"/>
          <w:b/>
          <w:i w:val="0"/>
          <w:color w:val="1A1A1A"/>
          <w:sz w:val="22"/>
        </w:rPr>
        <w:t>6. RECOMMENDED WEIGHT CHANGES</w:t>
      </w:r>
    </w:p>
    <w:p>
      <w:pPr>
        <w:spacing w:after="40"/>
      </w:pPr>
      <w:r>
        <w:rPr>
          <w:rFonts w:ascii="Calibri" w:hAnsi="Calibri"/>
          <w:b w:val="0"/>
          <w:i w:val="0"/>
          <w:color w:val="1A1A1A"/>
          <w:sz w:val="20"/>
        </w:rPr>
        <w:t>No weight changes today. 27 positions + 15.0% cash = 100.0%. All April pending catalysts are now closed; April rebuild (XOM 2.5→3.0%, EOG 2.0→2.5%) executed Apr 28; INTC entered Apr 24 at 1.5%. Cash buffer at floor preserves reactive capacity into the May 6 EOG print and any post-NFP / post-XOM repositioning.</w:t>
      </w:r>
    </w:p>
    <w:p>
      <w:pPr>
        <w:pBdr>
          <w:bottom w:val="single" w:sz="6" w:space="1" w:color="BFBFBF"/>
        </w:pBdr>
      </w:pPr>
      <w:r>
        <w:rPr>
          <w:rFonts w:ascii="Calibri" w:hAnsi="Calibri"/>
          <w:b/>
          <w:i w:val="0"/>
          <w:color w:val="1A1A1A"/>
          <w:sz w:val="22"/>
        </w:rPr>
        <w:t>7. FULL PORTFOLIO — CURRENT WEIGHTS [CONFIRMED]</w:t>
      </w:r>
    </w:p>
    <w:tbl>
      <w:tblPr>
        <w:tblW w:type="auto" w:w="0"/>
        <w:tblLayout w:type="fixed"/>
        <w:tblLook w:firstColumn="1" w:firstRow="1" w:lastColumn="0" w:lastRow="0" w:noHBand="0" w:noVBand="1" w:val="04A0"/>
      </w:tblPr>
      <w:tblGrid>
        <w:gridCol w:w="2664"/>
        <w:gridCol w:w="2664"/>
        <w:gridCol w:w="2664"/>
        <w:gridCol w:w="2664"/>
      </w:tblGrid>
      <w:tr>
        <w:tc>
          <w:tcPr>
            <w:tcW w:type="dxa" w:w="576"/>
            <w:vAlign w:val="center"/>
            <w:shd w:val="clear" w:color="auto" w:fill="ECECEC"/>
            <w:tcBorders>
              <w:top w:val="single" w:sz="4" w:color="BFBFBF"/>
              <w:left w:val="single" w:sz="4" w:color="BFBFBF"/>
              <w:bottom w:val="single" w:sz="4" w:color="BFBFBF"/>
              <w:right w:val="single" w:sz="4" w:color="BFBFBF"/>
            </w:tcBorders>
          </w:tcPr>
          <w:p>
            <w:pPr>
              <w:jc w:val="right"/>
            </w:pPr>
            <w:r/>
            <w:r>
              <w:rPr>
                <w:rFonts w:ascii="Calibri" w:hAnsi="Calibri"/>
                <w:b/>
                <w:i w:val="0"/>
                <w:color w:val="1A1A1A"/>
                <w:sz w:val="18"/>
              </w:rPr>
              <w:t>#</w:t>
            </w:r>
          </w:p>
        </w:tc>
        <w:tc>
          <w:tcPr>
            <w:tcW w:type="dxa" w:w="1296"/>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Ticker</w:t>
            </w:r>
          </w:p>
        </w:tc>
        <w:tc>
          <w:tcPr>
            <w:tcW w:type="dxa" w:w="6480"/>
            <w:vAlign w:val="center"/>
            <w:shd w:val="clear" w:color="auto" w:fill="ECECEC"/>
            <w:tcBorders>
              <w:top w:val="single" w:sz="4" w:color="BFBFBF"/>
              <w:left w:val="single" w:sz="4" w:color="BFBFBF"/>
              <w:bottom w:val="single" w:sz="4" w:color="BFBFBF"/>
              <w:right w:val="single" w:sz="4" w:color="BFBFBF"/>
            </w:tcBorders>
          </w:tcPr>
          <w:p>
            <w:pPr>
              <w:jc w:val="left"/>
            </w:pPr>
            <w:r/>
            <w:r>
              <w:rPr>
                <w:rFonts w:ascii="Calibri" w:hAnsi="Calibri"/>
                <w:b/>
                <w:i w:val="0"/>
                <w:color w:val="1A1A1A"/>
                <w:sz w:val="18"/>
              </w:rPr>
              <w:t>Sector / Theme</w:t>
            </w:r>
          </w:p>
        </w:tc>
        <w:tc>
          <w:tcPr>
            <w:tcW w:type="dxa" w:w="1008"/>
            <w:vAlign w:val="center"/>
            <w:shd w:val="clear" w:color="auto" w:fill="ECECEC"/>
            <w:tcBorders>
              <w:top w:val="single" w:sz="4" w:color="BFBFBF"/>
              <w:left w:val="single" w:sz="4" w:color="BFBFBF"/>
              <w:bottom w:val="single" w:sz="4" w:color="BFBFBF"/>
              <w:right w:val="single" w:sz="4" w:color="BFBFBF"/>
            </w:tcBorders>
          </w:tcPr>
          <w:p>
            <w:pPr>
              <w:jc w:val="right"/>
            </w:pPr>
            <w:r/>
            <w:r>
              <w:rPr>
                <w:rFonts w:ascii="Calibri" w:hAnsi="Calibri"/>
                <w:b/>
                <w:i w:val="0"/>
                <w:color w:val="1A1A1A"/>
                <w:sz w:val="18"/>
              </w:rPr>
              <w:t>Wt %</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NVDA</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Technology — AI Infrastructure</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6.5</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AMZN</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Technology — Cloud / E-Commerce</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5.5</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META</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Communication Services</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4.5</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4</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LLY</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Healthcare — Pharmaceuticals</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4.5</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5</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JPM</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Financials — Banking</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4.5</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6</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AVGO</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Technology — Semiconductors</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4.0</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7</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MSFT</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Technology — Enterprise Software</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4.0</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8</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PANW</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Technology — Cybersecurity</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4.0</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9</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QQQ</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ETF — Nasdaq-100</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3.5</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10</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ORCL</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Technology — Cloud Database</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3.5</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11</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GOOGL</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Technology — Search / Cloud</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3.0</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12</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PLTR</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Technology — AI Software</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3.0</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13</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UNH</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Healthcare — Managed Care</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3.0</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14</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V</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Financials — Payments</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3.0</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15</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XOM</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Energy — Integrated Oil &amp; Gas</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3.0</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16</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TSM</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Technology — Foundry</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3.0</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17</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VUG</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ETF — Large-Cap Growth</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2.5</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18</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SCHD</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ETF — Dividend / Income</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2.5</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19</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MU</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Technology — Memory</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2.5</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20</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EOG</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Energy — E&amp;P</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2.5</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21</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COST</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Consumer Staples</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2.5</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22</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DASH</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Consumer Discretionary</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2.0</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23</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NEE</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Utilities — Renewables</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2.0</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24</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ABBV</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Healthcare — Biotech / Pharma</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1.5</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25</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NFLX</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Communication Services</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1.5</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26</w:t>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CRWD</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Technology — Cybersecurity</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1.5</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27</w:t>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INTC</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Technology — Semiconductors</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1.5</w:t>
            </w:r>
          </w:p>
        </w:tc>
      </w:tr>
      <w:tr>
        <w:tc>
          <w:tcPr>
            <w:tcW w:type="dxa" w:w="576"/>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r>
          </w:p>
        </w:tc>
        <w:tc>
          <w:tcPr>
            <w:tcW w:type="dxa" w:w="1296"/>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CASH</w:t>
            </w:r>
          </w:p>
        </w:tc>
        <w:tc>
          <w:tcPr>
            <w:tcW w:type="dxa" w:w="6480"/>
            <w:vAlign w:val="center"/>
            <w:shd w:val="clear" w:color="auto" w:fill="F6F6F6"/>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Cash &amp; Equivalents</w:t>
            </w:r>
          </w:p>
        </w:tc>
        <w:tc>
          <w:tcPr>
            <w:tcW w:type="dxa" w:w="1008"/>
            <w:vAlign w:val="center"/>
            <w:shd w:val="clear" w:color="auto" w:fill="F6F6F6"/>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15.0</w:t>
            </w:r>
          </w:p>
        </w:tc>
      </w:tr>
      <w:tr>
        <w:tc>
          <w:tcPr>
            <w:tcW w:type="dxa" w:w="576"/>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r>
          </w:p>
        </w:tc>
        <w:tc>
          <w:tcPr>
            <w:tcW w:type="dxa" w:w="1296"/>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TOTAL</w:t>
            </w:r>
          </w:p>
        </w:tc>
        <w:tc>
          <w:tcPr>
            <w:tcW w:type="dxa" w:w="6480"/>
            <w:vAlign w:val="center"/>
            <w:tcBorders>
              <w:top w:val="single" w:sz="4" w:color="BFBFBF"/>
              <w:left w:val="single" w:sz="4" w:color="BFBFBF"/>
              <w:bottom w:val="single" w:sz="4" w:color="BFBFBF"/>
              <w:right w:val="single" w:sz="4" w:color="BFBFBF"/>
            </w:tcBorders>
          </w:tcPr>
          <w:p>
            <w:pPr>
              <w:jc w:val="left"/>
            </w:pPr>
            <w:r/>
            <w:r>
              <w:rPr>
                <w:rFonts w:ascii="Calibri" w:hAnsi="Calibri"/>
                <w:b w:val="0"/>
                <w:i w:val="0"/>
                <w:color w:val="1A1A1A"/>
                <w:sz w:val="18"/>
              </w:rPr>
              <w:t>27 positions + cash</w:t>
            </w:r>
          </w:p>
        </w:tc>
        <w:tc>
          <w:tcPr>
            <w:tcW w:type="dxa" w:w="1008"/>
            <w:vAlign w:val="center"/>
            <w:tcBorders>
              <w:top w:val="single" w:sz="4" w:color="BFBFBF"/>
              <w:left w:val="single" w:sz="4" w:color="BFBFBF"/>
              <w:bottom w:val="single" w:sz="4" w:color="BFBFBF"/>
              <w:right w:val="single" w:sz="4" w:color="BFBFBF"/>
            </w:tcBorders>
          </w:tcPr>
          <w:p>
            <w:pPr>
              <w:jc w:val="right"/>
            </w:pPr>
            <w:r/>
            <w:r>
              <w:rPr>
                <w:rFonts w:ascii="Consolas" w:hAnsi="Consolas"/>
                <w:b w:val="0"/>
                <w:i w:val="0"/>
                <w:color w:val="1A1A1A"/>
                <w:sz w:val="18"/>
              </w:rPr>
              <w:t>100.0</w:t>
            </w:r>
          </w:p>
        </w:tc>
      </w:tr>
    </w:tbl>
    <w:p>
      <w:pPr>
        <w:spacing w:after="40"/>
      </w:pPr>
      <w:r>
        <w:rPr>
          <w:rFonts w:ascii="Calibri" w:hAnsi="Calibri"/>
          <w:b w:val="0"/>
          <w:i/>
          <w:color w:val="1A1A1A"/>
          <w:sz w:val="20"/>
        </w:rPr>
        <w:t>IPS check: max single name 6.5% (NVDA) ≤ 7.0% cap; max ETF 3.5% (QQQ) ≤ 5.0% cap; Technology sector 33.5% ≤ 35.0% cap; cash 15.0% inside 10–20% band; no leverage / options / shorts.</w:t>
      </w:r>
    </w:p>
    <w:p>
      <w:pPr>
        <w:pBdr>
          <w:bottom w:val="single" w:sz="6" w:space="1" w:color="BFBFBF"/>
        </w:pBdr>
      </w:pPr>
      <w:r>
        <w:rPr>
          <w:rFonts w:ascii="Calibri" w:hAnsi="Calibri"/>
          <w:b/>
          <w:i w:val="0"/>
          <w:color w:val="1A1A1A"/>
          <w:sz w:val="22"/>
        </w:rPr>
        <w:t>8. SOURCES &amp; METHODOLOGY</w:t>
      </w:r>
    </w:p>
    <w:p>
      <w:pPr>
        <w:spacing w:after="40"/>
      </w:pPr>
      <w:r>
        <w:rPr>
          <w:rFonts w:ascii="Calibri" w:hAnsi="Calibri"/>
          <w:b w:val="0"/>
          <w:i/>
          <w:color w:val="707070"/>
          <w:sz w:val="16"/>
        </w:rPr>
        <w:t>Market levels SOURCED from TheStreet (May 1 live updates), CNBC pre-market, Yahoo Finance, FRED VIX, FX Leaders. Earnings figures SOURCED from issuer IR press releases (microsoft.com, investor.atmeta.com, abc.xyz, ir.aboutamazon.com, investor.lilly.com, news.abbvie.com, investor.exxonmobil.com), CNBC, Yahoo Finance, Motley Fool transcripts, BusinessWire. FOMC details SOURCED from federalreserve.gov press release (Apr 29) and CNBC/Fox Business coverage. Oil prices SOURCED from CNBC, FX Leaders, and Euronews. Position weights CONFIRMED via the Holdings sheet of WM_Growth_Portfolio_Apr2026.xlsx (read at write time). No CALIBRATED figures used in this report.</w:t>
      </w:r>
    </w:p>
    <w:p>
      <w:pPr>
        <w:spacing w:after="40"/>
      </w:pPr>
      <w:r>
        <w:rPr>
          <w:rFonts w:ascii="Calibri" w:hAnsi="Calibri"/>
          <w:b w:val="0"/>
          <w:i/>
          <w:color w:val="707070"/>
          <w:sz w:val="16"/>
        </w:rPr>
        <w:t>Provenance — every figure tagged SOURCED / CONFIRMED. Recommendations carry confidence + size + entry + price stop + thesis stop + pre-mortem (per IPS). IPS hard limits enforced (single ≤7%, ETF ≤5%, sector ≤35%, cash 10–20%, no leverage/options/shorts).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