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DAILY PRE-MARKET PORTFOLIO REPORT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Long-Term Growth Portfolio  |  Active Wealth Management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Report Date: Thursday, July 2, 2026  |  Benchmark: S&amp;P 500  |  Horizon: Long-Term Growth</w:t>
      </w:r>
    </w:p>
    <w:p>
      <w:pPr>
        <w:pBdr>
          <w:bottom w:val="single" w:color="1F4E79" w:sz="8" w:space="1"/>
        </w:pBdr>
        <w:spacing w:after="60"/>
      </w:pPr>
      <w:r>
        <w:t xml:space="preserve"/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1.  Market Snapshot — Pre-Market / Intraday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100"/>
        <w:gridCol w:w="2100"/>
        <w:gridCol w:w="25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Index / Reference</w:t>
            </w:r>
          </w:p>
        </w:tc>
        <w:tc>
          <w:tcPr>
            <w:tcW w:type="dxa" w:w="21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1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2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S&amp;P 500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~7,480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+~0.7%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Risk-on post-jobs</w:t>
            </w:r>
          </w:p>
        </w:tc>
      </w:tr>
      <w:tr>
        <w:tc>
          <w:tcPr>
            <w:tcW w:type="dxa" w:w="2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Nasdaq Composite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+~0.7%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Chips bounce; AMD ATH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Dow Jones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+~0.7% (+395)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Broad advance</w:t>
            </w:r>
          </w:p>
        </w:tc>
      </w:tr>
      <w:tr>
        <w:tc>
          <w:tcPr>
            <w:tcW w:type="dxa" w:w="2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2Y Treasury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4.108%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−5 bp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Hike odds ease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10Y Treasury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~4.467%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−1 bp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Range-bound</w:t>
            </w:r>
          </w:p>
        </w:tc>
      </w:tr>
      <w:tr>
        <w:tc>
          <w:tcPr>
            <w:tcW w:type="dxa" w:w="2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WTI Crude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~$67.75</w:t>
            </w:r>
          </w:p>
        </w:tc>
        <w:tc>
          <w:tcPr>
            <w:tcW w:type="dxa" w:w="21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 $68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Lowest since Feb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Macro lens (SOURCED). </w:t>
      </w:r>
      <w:r>
        <w:rPr>
          <w:rFonts w:ascii="Calibri" w:cs="Calibri" w:eastAsia="Calibri" w:hAnsi="Calibri"/>
          <w:sz w:val="20"/>
          <w:szCs w:val="20"/>
        </w:rPr>
        <w:t xml:space="preserve">June nonfarm payrolls rose 57,000 versus roughly 113,000 expected, with unemployment at 4.2% and jobless claims of 215,000 — a clear downside miss. Equities rose about 0.7% and the 2-year yield fell more than five basis points to 4.108% as the soft print pushed a July rate hike off the table (BMO: “difficult to envision a July hike”). The move is dovish at the margin, not a regime change: with May PCE at +4.1% year-over-year, markets still price a greater-than-60% chance of a September hike. Net effect is a modest tailwind for long-duration growth while the reactive posture stays warranted. WTI slipped below $68, its lowest since late February, as Strait of Hormuz flows increased and U.S.–Iran talks in Doha progressed.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2.  Scan 1 — Holdings Review (Affected Names)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300"/>
        <w:gridCol w:w="3450"/>
        <w:gridCol w:w="2350"/>
        <w:gridCol w:w="226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4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 / Catalyst (SOURCED)</w:t>
            </w:r>
          </w:p>
        </w:tc>
        <w:tc>
          <w:tcPr>
            <w:tcW w:type="dxa" w:w="23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  <w:tc>
          <w:tcPr>
            <w:tcW w:type="dxa" w:w="22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MSFT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Rate relief from soft jobs aids long-duration growth. Thesis intact: Wedbush Outperform PT $625, Goldman Buy; Azure +31% Q3 FY26; AI run-rate ~$37B (+123% YoY). Entry ≤$380 met Jul 1 at $379.62.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sub-check still supported; capex ~$190B is the risk.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 ADD +1.0% (4.0→5.0%) — see §6</w:t>
            </w:r>
          </w:p>
        </w:tc>
      </w:tr>
      <w:tr>
        <w:tc>
          <w:tcPr>
            <w:tcW w:type="dxa" w:w="13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NVDA / Semis</w:t>
            </w:r>
          </w:p>
        </w:tc>
        <w:tc>
          <w:tcPr>
            <w:tcW w:type="dxa" w:w="3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NVDA ~$198, capped at $198 resistance; flat YTD vs SOX +79%. AMD new highs Jul 1. Goldman: funds selling tech fast, NVDA most premium to compress. PT ~$304, P/E ~29.</w:t>
            </w:r>
          </w:p>
        </w:tc>
        <w:tc>
          <w:tcPr>
            <w:tcW w:type="dxa" w:w="23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Theses intact; near-term rotation/de-risking. NVDA at 6.5% cap — no add room.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FQ3 blowout ($41.46B rev, EPS $25.11; Q4 guide $50B). TD Cowen/BofA PT $1,500. ~$1,140.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Confirmed; carry FLAG: tracker $235 vs mkt ~$1,140 (CALIBRATED drift).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2.5% — carry FLAG</w:t>
            </w:r>
          </w:p>
        </w:tc>
      </w:tr>
      <w:tr>
        <w:tc>
          <w:tcPr>
            <w:tcW w:type="dxa" w:w="13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PLTR</w:t>
            </w:r>
          </w:p>
        </w:tc>
        <w:tc>
          <w:tcPr>
            <w:tcW w:type="dxa" w:w="3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~$115–118; −37% YTD. No upgrade/beat/macro trigger today.</w:t>
            </w:r>
          </w:p>
        </w:tc>
        <w:tc>
          <w:tcPr>
            <w:tcW w:type="dxa" w:w="23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Weight drifted below 3.0% target (~1.8–2.0% CALIBRATED). No ADD trigger.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3.0% tgt — drift FLAG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UNH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~$424. Q2 FY26 earnings Jul 16 (~10 sessions). Consensus EPS $4.84; Strong Buy (19/26).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Pre-earnings hold; carry FLAG (16th): tracker $510 vs ~$424. DOJ/Optum binary risk.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3.0% — active watch</w:t>
            </w:r>
          </w:p>
        </w:tc>
      </w:tr>
      <w:tr>
        <w:tc>
          <w:tcPr>
            <w:tcW w:type="dxa" w:w="13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SPOT</w:t>
            </w:r>
          </w:p>
        </w:tc>
        <w:tc>
          <w:tcPr>
            <w:tcW w:type="dxa" w:w="3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 4 post-entry; tracking risk-on tape, no new news. Goldman Buy PT $659. Stop $395 intact.</w:t>
            </w:r>
          </w:p>
        </w:tc>
        <w:tc>
          <w:tcPr>
            <w:tcW w:type="dxa" w:w="23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Autonomous entry (Jun 29) performing to plan.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1.5%</w:t>
            </w:r>
          </w:p>
        </w:tc>
      </w:tr>
      <w:tr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Energy</w:t>
            </w:r>
          </w:p>
        </w:tc>
        <w:tc>
          <w:tcPr>
            <w:tcW w:type="dxa" w:w="3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WTI ~$67.75, below $68 (lowest since Feb). Hormuz flows up; Doha talks progressing.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Sub-$90 trim trigger armed 8th session, deeper below threshold; pre-mortem not triggered.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 TRIM — see §6</w:t>
            </w:r>
          </w:p>
        </w:tc>
      </w:tr>
    </w:tbl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3.  Scan 2 — New Opportunities &amp; Watchlist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50"/>
        <w:gridCol w:w="1500"/>
        <w:gridCol w:w="1450"/>
        <w:gridCol w:w="1650"/>
        <w:gridCol w:w="1200"/>
        <w:gridCol w:w="2510"/>
      </w:tblGrid>
      <w:tr>
        <w:trPr>
          <w:tblHeader/>
        </w:trPr>
        <w:tc>
          <w:tcPr>
            <w:tcW w:type="dxa" w:w="10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15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Setup</w:t>
            </w:r>
          </w:p>
        </w:tc>
        <w:tc>
          <w:tcPr>
            <w:tcW w:type="dxa" w:w="14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Conf.</w:t>
            </w:r>
          </w:p>
        </w:tc>
        <w:tc>
          <w:tcPr>
            <w:tcW w:type="dxa" w:w="165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Entry / Stop</w:t>
            </w:r>
          </w:p>
        </w:tc>
        <w:tc>
          <w:tcPr>
            <w:tcW w:type="dxa" w:w="1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251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 / Pre-mortem</w:t>
            </w:r>
          </w:p>
        </w:tc>
      </w:tr>
      <w:tr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ANET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networking; Strong Buy, PT KeyBanc/BofA $200, Barclays $195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≤$155 / $142 (−8%)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1.5%</w:t>
            </w:r>
          </w:p>
        </w:tc>
        <w:tc>
          <w:tcPr>
            <w:tcW w:type="dxa" w:w="251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 — ~$160–165, risk-on tape keeps entry out of reach. Wrong if AI capex slows / MSFT+META concentration bites.</w:t>
            </w:r>
          </w:p>
        </w:tc>
      </w:tr>
      <w:tr>
        <w:tc>
          <w:tcPr>
            <w:tcW w:type="dxa" w:w="10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GS</w:t>
            </w:r>
          </w:p>
        </w:tc>
        <w:tc>
          <w:tcPr>
            <w:tcW w:type="dxa" w:w="15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M&amp;A record pace (&gt;$1T YTD); soft jobs adds some rate clarity</w:t>
            </w:r>
          </w:p>
        </w:tc>
        <w:tc>
          <w:tcPr>
            <w:tcW w:type="dxa" w:w="1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LOW</w:t>
            </w:r>
          </w:p>
        </w:tc>
        <w:tc>
          <w:tcPr>
            <w:tcW w:type="dxa" w:w="16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Clean setup</w:t>
            </w:r>
          </w:p>
        </w:tc>
        <w:tc>
          <w:tcPr>
            <w:tcW w:type="dxa" w:w="1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1.5%</w:t>
            </w:r>
          </w:p>
        </w:tc>
        <w:tc>
          <w:tcPr>
            <w:tcW w:type="dxa" w:w="251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 — ~$1,020 near ATH + Oppenheimer Underperform keep setup unclean. Wrong if IB cycle stalls.</w:t>
            </w:r>
          </w:p>
        </w:tc>
      </w:tr>
      <w:tr>
        <w:tc>
          <w:tcPr>
            <w:tcW w:type="dxa" w:w="1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ARM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CPU/AI-edge royalty model</w:t>
            </w:r>
          </w:p>
        </w:tc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LOW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≤$130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1.0%</w:t>
            </w:r>
          </w:p>
        </w:tc>
        <w:tc>
          <w:tcPr>
            <w:tcW w:type="dxa" w:w="251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 — no pullback. Wrong if edge-AI cycle data disappoints.</w:t>
            </w:r>
          </w:p>
        </w:tc>
      </w:tr>
      <w:tr>
        <w:tc>
          <w:tcPr>
            <w:tcW w:type="dxa" w:w="10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MRVL</w:t>
            </w:r>
          </w:p>
        </w:tc>
        <w:tc>
          <w:tcPr>
            <w:tcW w:type="dxa" w:w="15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custom silicon; S&amp;P 500 inclusion complete</w:t>
            </w:r>
          </w:p>
        </w:tc>
        <w:tc>
          <w:tcPr>
            <w:tcW w:type="dxa" w:w="14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LOW</w:t>
            </w:r>
          </w:p>
        </w:tc>
        <w:tc>
          <w:tcPr>
            <w:tcW w:type="dxa" w:w="165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pullback</w:t>
            </w:r>
          </w:p>
        </w:tc>
        <w:tc>
          <w:tcPr>
            <w:tcW w:type="dxa" w:w="1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1.0%</w:t>
            </w:r>
          </w:p>
        </w:tc>
        <w:tc>
          <w:tcPr>
            <w:tcW w:type="dxa" w:w="251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 — extended (+210% YTD), no entry. Wrong if memory/AI derating.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 watchlist trigger was cleanly met at the scheduled run; the risk-on tape works against the pullback entries. No autonomous new-position entry was executed today.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4.  Cash Recommendation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312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312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If Approvals Execute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Cash weight (CONFIRMED)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13.5%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12.5% (MSFT add) / 14.5% (energy trim)</w:t>
            </w:r>
          </w:p>
        </w:tc>
      </w:tr>
      <w:tr>
        <w:tc>
          <w:tcPr>
            <w:tcW w:type="dxa" w:w="312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IPS band</w:t>
            </w:r>
          </w:p>
        </w:tc>
        <w:tc>
          <w:tcPr>
            <w:tcW w:type="dxa" w:w="312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10.0%–20.0%</w:t>
            </w:r>
          </w:p>
        </w:tc>
        <w:tc>
          <w:tcPr>
            <w:tcW w:type="dxa" w:w="312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Within band both cases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Posture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Reactive floor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Maintained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Rationale. </w:t>
      </w:r>
      <w:r>
        <w:rPr>
          <w:rFonts w:ascii="Calibri" w:cs="Calibri" w:eastAsia="Calibri" w:hAnsi="Calibri"/>
          <w:sz w:val="20"/>
          <w:szCs w:val="20"/>
        </w:rPr>
        <w:t xml:space="preserve">Cash holds at 13.5% (CONFIRMED), inside the 10–20% band. The soft June print eases near-term hike risk but does not undo the hot-inflation regime, and UNH reports on July 16; the reactive posture is appropriate. The two pending approvals move cash in opposite directions and both leave it comfortably within band.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5.  Pending Catalysts — Status Update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1600"/>
        <w:gridCol w:w="3200"/>
        <w:gridCol w:w="25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Watch</w:t>
            </w:r>
          </w:p>
        </w:tc>
        <w:tc>
          <w:tcPr>
            <w:tcW w:type="dxa" w:w="2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Weekly performance report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Thu close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2-page v2 per report_standards.md cadence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Due today (separate deliverable)</w:t>
            </w:r>
          </w:p>
        </w:tc>
      </w:tr>
      <w:tr>
        <w:tc>
          <w:tcPr>
            <w:tcW w:type="dxa" w:w="20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UNH Q2 FY26 earnings</w:t>
            </w:r>
          </w:p>
        </w:tc>
        <w:tc>
          <w:tcPr>
            <w:tcW w:type="dxa" w:w="1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Thu Jul 16</w:t>
            </w:r>
          </w:p>
        </w:tc>
        <w:tc>
          <w:tcPr>
            <w:tcW w:type="dxa" w:w="3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 margin recovery, medical cost trend, Optum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watch (~10 sessions)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Energy trim trigger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Armed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WTI sustained &lt; $90 (now ~$67.75)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approval (8th session)</w:t>
            </w:r>
          </w:p>
        </w:tc>
      </w:tr>
      <w:tr>
        <w:tc>
          <w:tcPr>
            <w:tcW w:type="dxa" w:w="20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MSFT add</w:t>
            </w:r>
          </w:p>
        </w:tc>
        <w:tc>
          <w:tcPr>
            <w:tcW w:type="dxa" w:w="1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Live</w:t>
            </w:r>
          </w:p>
        </w:tc>
        <w:tc>
          <w:tcPr>
            <w:tcW w:type="dxa" w:w="3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Entry ≤$380 met at $379.62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PENDING approval (4th session)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Fed / July FOMC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Late Jul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July hike now off table; Sept hike &gt;60% priced</w:t>
            </w:r>
          </w:p>
        </w:tc>
        <w:tc>
          <w:tcPr>
            <w:tcW w:type="dxa" w:w="2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Hot-inflation regime intact</w:t>
            </w:r>
          </w:p>
        </w:tc>
      </w:tr>
      <w:tr>
        <w:tc>
          <w:tcPr>
            <w:tcW w:type="dxa" w:w="20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Carry resyncs</w:t>
            </w:r>
          </w:p>
        </w:tc>
        <w:tc>
          <w:tcPr>
            <w:tcW w:type="dxa" w:w="16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Q3 mark</w:t>
            </w:r>
          </w:p>
        </w:tc>
        <w:tc>
          <w:tcPr>
            <w:tcW w:type="dxa" w:w="320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UNH $510→~$424; MU $235→~$1,140; PLTR drift</w:t>
            </w:r>
          </w:p>
        </w:tc>
        <w:tc>
          <w:tcPr>
            <w:tcW w:type="dxa" w:w="2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FLAG — no trade</w:t>
            </w:r>
          </w:p>
        </w:tc>
      </w:tr>
    </w:tbl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6.  Recommended Weight Changes (Today)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weight changes were executed today. </w:t>
      </w:r>
      <w:r>
        <w:rPr>
          <w:rFonts w:ascii="Calibri" w:cs="Calibri" w:eastAsia="Calibri" w:hAnsi="Calibri"/>
          <w:sz w:val="20"/>
          <w:szCs w:val="20"/>
        </w:rPr>
        <w:t xml:space="preserve">No Scan 2 entry trigger was cleanly met, so no autonomous new position was added. Two recommendations on existing positions remain outstanding and require manager approval before execution: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1)  Energy trim (8th session, Conf MED-HIGH). </w:t>
      </w:r>
      <w:r>
        <w:rPr>
          <w:rFonts w:ascii="Calibri" w:cs="Calibri" w:eastAsia="Calibri" w:hAnsi="Calibri"/>
          <w:sz w:val="20"/>
          <w:szCs w:val="20"/>
        </w:rPr>
        <w:t xml:space="preserve">XOM 3.0%→2.5%, EOG 2.5%→2.0%, cash +1.0% to 14.5%. Entry: reduce on the sustained sub-$90 WTI regime, now ~$67.75 and making new lows. Price stop: n/a (trim). Thesis stop: WTI reclaims $90 on renewed supply risk. Pre-mortem: wrong if the U.S.–Iran ceasefire collapses within 5 sessions of the trim. Post-trade IPS: Energy 5.5%→4.5%, cash 14.5% — within limits.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2)  MSFT add to existing position (4th session flagged, Conf MED-HIGH). </w:t>
      </w:r>
      <w:r>
        <w:rPr>
          <w:rFonts w:ascii="Calibri" w:cs="Calibri" w:eastAsia="Calibri" w:hAnsi="Calibri"/>
          <w:sz w:val="20"/>
          <w:szCs w:val="20"/>
        </w:rPr>
        <w:t xml:space="preserve">4.0%→5.0% (+1.0%). Entry ≤$380 met at $379.62; soft-jobs rate relief reinforces the long-duration thesis. Price stop: $330 (−12%). Thesis stop: Azure growth decelerates below 20% YoY. Pre-mortem: ~$190B FY26 capex compresses margins faster than AI revenue scales. Post-trade IPS: MSFT 5.0% ≤ 7.0%; Technology 33.5%→34.5% ≤ 35.0%; cash 13.5%→12.5% ≥ 10.0% — within limits.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7.  Full Portfolio Table — 28 Positions + Cash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0"/>
        <w:gridCol w:w="1130"/>
        <w:gridCol w:w="2260"/>
        <w:gridCol w:w="730"/>
        <w:gridCol w:w="560"/>
        <w:gridCol w:w="1130"/>
        <w:gridCol w:w="2260"/>
        <w:gridCol w:w="730"/>
      </w:tblGrid>
      <w:tr>
        <w:trPr>
          <w:tblHeader/>
        </w:trPr>
        <w:tc>
          <w:tcPr>
            <w:tcW w:type="dxa" w:w="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22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Sector (GICS)</w:t>
            </w:r>
          </w:p>
        </w:tc>
        <w:tc>
          <w:tcPr>
            <w:tcW w:type="dxa" w:w="7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Wt%</w:t>
            </w:r>
          </w:p>
        </w:tc>
        <w:tc>
          <w:tcPr>
            <w:tcW w:type="dxa" w:w="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22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Sector (GICS)</w:t>
            </w:r>
          </w:p>
        </w:tc>
        <w:tc>
          <w:tcPr>
            <w:tcW w:type="dxa" w:w="73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Wt%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NVDA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6.5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16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TSM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AMZN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Cons. Disc.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5.5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17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VUG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ETF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JPM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Financials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4.5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18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SCHD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ETF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LLY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Healthcare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4.5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19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META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Comm. Svcs.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4.5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EOG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Energy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AVGO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4.0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21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COST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Cons. Staples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MSFT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4.0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22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DASH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Cons. Disc.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PANW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4.0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23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NEE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Utilities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QQQ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ETF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3.5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24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ABBV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Healthcare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ORCL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3.5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25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NFLX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Comm. Svcs.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11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GOOGL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Comm. Svcs.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26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CRWD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PLTR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27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INTC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Technology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13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UNH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Healthcare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28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SPOT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Comm. Svcs.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XOM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Energy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11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CASH</w:t>
            </w:r>
          </w:p>
        </w:tc>
        <w:tc>
          <w:tcPr>
            <w:tcW w:type="dxa" w:w="226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Cash &amp; Equiv.</w:t>
            </w:r>
          </w:p>
        </w:tc>
        <w:tc>
          <w:tcPr>
            <w:tcW w:type="dxa" w:w="730"/>
            <w:shd w:fill="F3F6F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13.5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15</w:t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</w:t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5"/>
                <w:szCs w:val="15"/>
              </w:rPr>
              <w:t xml:space="preserve">Financials</w:t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3.0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1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7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6E3D"/>
          <w:sz w:val="18"/>
          <w:szCs w:val="18"/>
        </w:rPr>
        <w:t xml:space="preserve">Portfolio sum verified: 100.0% = 100.0%  ✓   |   Max single NVDA 6.5% ≤ 7.0%   |   Technology 33.5% (GICS) ≤ 35.0%   |   Cash 13.5% in band   |   No leverage / options / shorts.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Sector flag (CALIBRATED classification). </w:t>
      </w:r>
      <w:r>
        <w:rPr>
          <w:rFonts w:ascii="Calibri" w:cs="Calibri" w:eastAsia="Calibri" w:hAnsi="Calibri"/>
          <w:sz w:val="18"/>
          <w:szCs w:val="18"/>
        </w:rPr>
        <w:t xml:space="preserve">Under the tracker’s in-house labels (AMZN, GOOGL, CRWD, INTC tagged Technology) Technology sums to 42.0%; under GICS (AMZN→Cons. Disc., GOOGL→Comm. Svcs.) it is 33.5%, within the 35.0% cap. No breach under GICS; reconcile labels and refresh the Sector Allocation sheet at the Q3 review.</w:t>
      </w:r>
    </w:p>
    <w:p>
      <w:pPr>
        <w:pStyle w:val="Heading1"/>
        <w:spacing w:after="9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8.  Sources &amp; Methodology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Market/jobs: BLS, Yahoo Finance, TheStreet, CNBC (Jul 2,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Rates: CNBC, BMO Capital Markets (Jul 2,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Oil: Trading Economics, CNBC, Reuters (Jul 2,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MSFT: Wedbush, Goldman Sachs, Microsoft IR (Jun–Jul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NVDA/semis: CNN, MarketBeat, TradingKey, Yahoo Finance (Jul 2,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UNH / watchlist: Barchart, KeyBanc, BofA, Yahoo Finance (Jun–Jul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Weights: WM_Growth_Portfolio_Apr2026.xlsx — Portfolio Overview (ground truth).</w:t>
      </w:r>
    </w:p>
    <w:p>
      <w:pPr>
        <w:spacing w:after="4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Provenance. </w:t>
      </w:r>
      <w:r>
        <w:rPr>
          <w:rFonts w:ascii="Calibri" w:cs="Calibri" w:eastAsia="Calibri" w:hAnsi="Calibri"/>
          <w:sz w:val="18"/>
          <w:szCs w:val="18"/>
        </w:rPr>
        <w:t xml:space="preserve">SOURCED = live/delayed data retrieved at write time. CONFIRMED = tracker ground-truth weights (sum 100.0%). CALIBRATED = position-level drift estimates (PLTR ~1.8–2.0%) and carry gaps (UNH $510→~$424; MU $235→~$1,140) fit to reconcile with confirmed weights; not a substitute for sourced marks and not presented as alpha.</w:t>
      </w:r>
    </w:p>
    <w:p>
      <w:pPr>
        <w:spacing w:before="10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This report is prepared for internal wealth-management use. It is not investment advice and not an offer to buy or sell any security. Figures are approximate and time-sensitive; past performance does not indicate future results. Governed by WM Growth Portfolio IPS v1.0.</w:t>
      </w:r>
    </w:p>
    <w:sectPr>
      <w:pgSz w:w="12240" w:h="15840" w:orient="portrait"/>
      <w:pgMar w:top="1010" w:right="1150" w:bottom="101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Calibri" w:cs="Calibri" w:eastAsia="Calibri" w:hAnsi="Calibri"/>
      <w:b/>
      <w:bCs/>
      <w:color w:val="365F9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2026-07-02T14:35:11.594Z</dcterms:created>
  <dcterms:modified xsi:type="dcterms:W3CDTF">2026-07-02T14:35:11.598Z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