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36"/>
          <w:szCs w:val="36"/>
        </w:rPr>
        <w:t xml:space="preserve">DAILY PRE-MARKET PORTFOLIO REPORT</w:t>
      </w:r>
    </w:p>
    <w:p>
      <w:pPr>
        <w:spacing w:after="40" w:before="0"/>
        <w:jc w:val="center"/>
      </w:pPr>
      <w:r>
        <w:rPr>
          <w:rFonts w:ascii="Calibri" w:cs="Calibri" w:eastAsia="Calibri" w:hAnsi="Calibri"/>
          <w:color w:val="555555"/>
          <w:sz w:val="22"/>
          <w:szCs w:val="22"/>
        </w:rPr>
        <w:t xml:space="preserve">Long-Term Growth Portfolio  |  Active Wealth Management</w:t>
      </w:r>
    </w:p>
    <w:p>
      <w:pPr>
        <w:spacing w:after="80" w:before="0"/>
        <w:jc w:val="center"/>
      </w:pPr>
      <w:r>
        <w:rPr>
          <w:rFonts w:ascii="Calibri" w:cs="Calibri" w:eastAsia="Calibri" w:hAnsi="Calibri"/>
          <w:color w:val="555555"/>
          <w:sz w:val="18"/>
          <w:szCs w:val="18"/>
        </w:rPr>
        <w:t xml:space="preserve">Report Date: Friday, June 26, 2026  |  Benchmark: S&amp;P 500  |  Horizon: Long-Term Growth</w:t>
      </w:r>
    </w:p>
    <w:p>
      <w:pPr>
        <w:spacing w:after="40" w:before="100"/>
      </w:pPr>
      <w:r>
        <w:rPr>
          <w:rFonts w:ascii="Calibri" w:cs="Calibri" w:eastAsia="Calibri" w:hAnsi="Calibri"/>
          <w:b/>
          <w:bCs/>
          <w:color w:val="365F91"/>
          <w:sz w:val="22"/>
          <w:szCs w:val="22"/>
        </w:rPr>
        <w:t xml:space="preserve">1. Market Snapshot — Pre-Market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3636"/>
      </w:tblGrid>
      <w:tr>
        <w:tc>
          <w:tcPr>
            <w:tcW w:type="dxa" w:w="1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Index / Asset</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Pre-Mkt Move</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Ref Close</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Level</w:t>
            </w:r>
          </w:p>
        </w:tc>
        <w:tc>
          <w:tcPr>
            <w:tcW w:type="dxa" w:w="363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Market Context</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S&amp;P 500 Futures</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CC0000"/>
                <w:sz w:val="15"/>
                <w:szCs w:val="15"/>
              </w:rPr>
              <w:t xml:space="preserve">−0.74%</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~7,400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SOURCED</w:t>
            </w:r>
          </w:p>
        </w:tc>
        <w:tc>
          <w:tcPr>
            <w:tcW w:type="dxa" w:w="36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 selloff: OpenAI IPO delay (NYT); AI capex cost concerns</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Nasdaq-100 Futures</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CC0000"/>
                <w:sz w:val="15"/>
                <w:szCs w:val="15"/>
              </w:rPr>
              <w:t xml:space="preserve">−1.52%</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~25,700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SOURCED</w:t>
            </w:r>
          </w:p>
        </w:tc>
        <w:tc>
          <w:tcPr>
            <w:tcW w:type="dxa" w:w="36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Chip complex leads downside; AVGO AI guide miss catalyst</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Dow Futures</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CC0000"/>
                <w:sz w:val="15"/>
                <w:szCs w:val="15"/>
              </w:rPr>
              <w:t xml:space="preserve">−0.38%</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SOURCED</w:t>
            </w:r>
          </w:p>
        </w:tc>
        <w:tc>
          <w:tcPr>
            <w:tcW w:type="dxa" w:w="36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Non-tech names more resilient; financials and staples defensive</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10Y Treasury Yield</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~4.39–4.45%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4.49%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SOURCED</w:t>
            </w:r>
          </w:p>
        </w:tc>
        <w:tc>
          <w:tcPr>
            <w:tcW w:type="dxa" w:w="36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Slight bid on flight-to-safety; PCE +4.1% YoY (Jun 25) hot</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WTI Crude Oil</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$70.14/bbl</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&lt;$70 Jun 25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SOURCED</w:t>
            </w:r>
          </w:p>
        </w:tc>
        <w:tc>
          <w:tcPr>
            <w:tcW w:type="dxa" w:w="36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US-Iran peace memorandum; Hormuz reopening — supply increase confirmed</w:t>
            </w:r>
          </w:p>
        </w:tc>
      </w:tr>
    </w:tbl>
    <w:p>
      <w:pPr>
        <w:spacing w:after="50" w:before="50"/>
      </w:pPr>
      <w:r>
        <w:rPr>
          <w:rFonts w:ascii="Calibri" w:cs="Calibri" w:eastAsia="Calibri" w:hAnsi="Calibri"/>
          <w:sz w:val="18"/>
          <w:szCs w:val="18"/>
        </w:rPr>
        <w:t xml:space="preserve">Macro lens: The AI trade is unwinding on twin headwinds — AVGO Q3 FY26 AI chip guidance ($16B vs. $17.2B est.) and an NYT report that OpenAI is considering delaying its IPO. The broader chip complex (SOX −10% on Jun 25) continues to exert pressure on the portfolio's technology-heavy book. The FOMC remains hawkish (Jun 17 dot plot: 9 of 18 members project a year-end hike), and PCE at +4.1% YoY keeps the rate-cut path closed. Energy presents the only clear actionable: WTI at $70.14, sustained multi-session below $90, with the US-Iran peace deal removing the Hormuz risk premium that justified the Apr 13 rebuild.</w:t>
      </w:r>
    </w:p>
    <w:p>
      <w:pPr>
        <w:spacing w:after="40" w:before="100"/>
      </w:pPr>
      <w:r>
        <w:rPr>
          <w:rFonts w:ascii="Calibri" w:cs="Calibri" w:eastAsia="Calibri" w:hAnsi="Calibri"/>
          <w:b/>
          <w:bCs/>
          <w:color w:val="365F91"/>
          <w:sz w:val="22"/>
          <w:szCs w:val="22"/>
        </w:rPr>
        <w:t xml:space="preserve">2. Scan 1 — Holdings Review (Affected Names)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500"/>
        <w:gridCol w:w="2000"/>
        <w:gridCol w:w="950"/>
        <w:gridCol w:w="3486"/>
      </w:tblGrid>
      <w:tr>
        <w:tc>
          <w:tcPr>
            <w:tcW w:type="dxa" w:w="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Ticker</w:t>
            </w:r>
          </w:p>
        </w:tc>
        <w:tc>
          <w:tcPr>
            <w:tcW w:type="dxa" w:w="1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Wt %</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Pre-Mkt Price</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Headline / Catalyst</w:t>
            </w:r>
          </w:p>
        </w:tc>
        <w:tc>
          <w:tcPr>
            <w:tcW w:type="dxa" w:w="9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Action</w:t>
            </w:r>
          </w:p>
        </w:tc>
        <w:tc>
          <w:tcPr>
            <w:tcW w:type="dxa" w:w="348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Assessment</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NVDA</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6.5%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$192.46 −1.7%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AI trade unwind; −6% Jun 25 on sector-wide chip selloff</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At 6.5% target (7.0% cap). Blackwell H2 ramp thesis intact; near-term multiple compression. Weight drifting below target — within ±0.5% tol.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AVGO</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~$380 −3%+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Q3 FY26 AI guide $16B vs. $17.2B est.; CEO did not raise $100B FY guide. AI rev +143% YoY</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Guide miss is a valuation reset, not a thesis break. Custom AI ASIC momentum (Google/Anthropic) intact. Monitor Q4 AI rev guidance revision.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MU</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~$1,195 −4.7%</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Post-blowout (Jun 24 AMC): rev $41.46B, EPS $25.11; Q4 guide $50B. PT raises TD Cowen/BofA → $1,500</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Thesis (HBM/AI memory) confirmed; sold-out HBM, 16 long-term agreements. Pulling back from $1,255 ATH into chip selloff. Carry flag: tracker $235 vs. mkt ~$1,200.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PLTR</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−6% Jun 25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−40% YTD; AI-software trade under pressure; no near-term catalyst</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 / FLAG</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Actual weight has drifted materially below 3.0% target given YTD decline. Review at next rebalance; gov't AI thesis intact. [SOURCED/CALIBRATED]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XOM</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~$139.89</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WTI $70.14 — US-Iran peace deal, Hormuz reopening confirmed multi-session</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REC TRIM</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IPS sub-$90 trim trigger met (sustained). Pre-mortem NOT triggered: Hormuz de-escalated per peace deal. Carried from Jun 25. Propose 3.0% → 2.5%.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EOG</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~$135 est.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Same energy context as XOM; WTI sustained below $90 for multiple sessions</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REC TRIM</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Propose 2.5% → 2.0%. Paired with XOM trim; cash +1.0% to 16.0%. Pre-mortem NOT met.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PANW</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+3.05% Jun 25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Federal post-quantum cryptography mandate: critical infrastructure must migrate to PQC by decade end</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Outperforming in down tape. AI-native security platform continues to benefit from government mandates. Thesis reinforced.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MSFT</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$356 +1%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Michael Burry discloses long call options Dec 2028; constructive institutional signal</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Azure/Copilot thesis intact. Outperforming tech on Burry disclosure. Trading ~$356 vs. tracker $360 — within tolerance.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LLY</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~$1,098 Jun 18</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4E Therapeutics acquisition (Jun 16); non-opioid pain pipeline. Analyst PT avg $1,218.72</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GLP-1 thesis intact; pipeline diversification credit. Defensive in tech selloff. [SOURCED/CALIBRATED]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UNH</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~$412</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Q2 earnings Jul 16 (flag: within next ~15 sessions). BofA PT raised $475. DOJ/Optum antitrust risk persists</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 / FLAG</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Carry flag 11th session (tracker $510 vs. mkt ~$412). Q2 earnings = next key binary. Resync carry at next quarterly.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INTC</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Chip selloff</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SOX -10% Jun 25; INTC, AMD, MU all down ~9%+ in yesterday's rout</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HOLD</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18A commercial ramp thesis intact. Small position (1.5%) limits portfolio impact. Monitor for stabilization. [SOURCED/CALIBRATED]</w:t>
            </w:r>
          </w:p>
        </w:tc>
      </w:tr>
    </w:tbl>
    <w:p>
      <w:pPr>
        <w:spacing w:after="40" w:before="100"/>
      </w:pPr>
      <w:r>
        <w:rPr>
          <w:rFonts w:ascii="Calibri" w:cs="Calibri" w:eastAsia="Calibri" w:hAnsi="Calibri"/>
          <w:b/>
          <w:bCs/>
          <w:color w:val="365F91"/>
          <w:sz w:val="22"/>
          <w:szCs w:val="22"/>
        </w:rPr>
        <w:t xml:space="preserve">3. Scan 2 — New Opportunities &amp; Watchlist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50"/>
        <w:gridCol w:w="950"/>
        <w:gridCol w:w="800"/>
        <w:gridCol w:w="700"/>
        <w:gridCol w:w="700"/>
        <w:gridCol w:w="850"/>
        <w:gridCol w:w="750"/>
        <w:gridCol w:w="3486"/>
      </w:tblGrid>
      <w:tr>
        <w:tc>
          <w:tcPr>
            <w:tcW w:type="dxa" w:w="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Ticker</w:t>
            </w:r>
          </w:p>
        </w:tc>
        <w:tc>
          <w:tcPr>
            <w:tcW w:type="dxa" w:w="9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Thesis</w:t>
            </w:r>
          </w:p>
        </w:tc>
        <w:tc>
          <w:tcPr>
            <w:tcW w:type="dxa" w:w="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Conf.</w:t>
            </w:r>
          </w:p>
        </w:tc>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Size</w:t>
            </w:r>
          </w:p>
        </w:tc>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Entry Trigger</w:t>
            </w:r>
          </w:p>
        </w:tc>
        <w:tc>
          <w:tcPr>
            <w:tcW w:type="dxa" w:w="8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Price Stop</w:t>
            </w:r>
          </w:p>
        </w:tc>
        <w:tc>
          <w:tcPr>
            <w:tcW w:type="dxa" w:w="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Thesis Stop</w:t>
            </w:r>
          </w:p>
        </w:tc>
        <w:tc>
          <w:tcPr>
            <w:tcW w:type="dxa" w:w="348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Pre-Mortem</w:t>
            </w:r>
          </w:p>
        </w:tc>
      </w:tr>
      <w:tr>
        <w:tc>
          <w:tcPr>
            <w:tcW w:type="dxa" w:w="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ANET</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AI networking infra; KeyBanc/BofA PT $200; MS Overweight. AI selloff creating entry vs. networking durability</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MED</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≤$185 intraday</w:t>
            </w:r>
          </w:p>
        </w:tc>
        <w:tc>
          <w:tcPr>
            <w:tcW w:type="dxa" w:w="8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$165</w:t>
            </w:r>
          </w:p>
        </w:tc>
        <w:tc>
          <w:tcPr>
            <w:tcW w:type="dxa" w:w="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Two major hyperscalers announce AI capex cuts</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Wrong if AI networking spend corrects alongside chip capex, or if entry fires before the selloff floor. Funded from cash. Post-trade: cash 14.5% (above 10% floor) if prior to energy trim; 15.0% if after trim executes. [SOURCED]</w:t>
            </w:r>
          </w:p>
        </w:tc>
      </w:tr>
      <w:tr>
        <w:tc>
          <w:tcPr>
            <w:tcW w:type="dxa" w:w="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ON</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ON Semiconductor; down ~9% pre-mkt on definitive agreement announcement; power semiconductors for EV/industrial</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LOW</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Post-deal clarity</w:t>
            </w:r>
          </w:p>
        </w:tc>
        <w:tc>
          <w:tcPr>
            <w:tcW w:type="dxa" w:w="8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w:t>
            </w:r>
          </w:p>
        </w:tc>
        <w:tc>
          <w:tcPr>
            <w:tcW w:type="dxa" w:w="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Deal terms confirm dilution risk</w:t>
            </w:r>
          </w:p>
        </w:tc>
        <w:tc>
          <w:tcPr>
            <w:tcW w:type="dxa" w:w="34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Insufficient detail on deal terms to size; watch only. Requires more research before entry consideration. [SOURCED]</w:t>
            </w:r>
          </w:p>
        </w:tc>
      </w:tr>
    </w:tbl>
    <w:p>
      <w:pPr>
        <w:spacing w:after="40" w:before="100"/>
      </w:pPr>
      <w:r>
        <w:rPr>
          <w:rFonts w:ascii="Calibri" w:cs="Calibri" w:eastAsia="Calibri" w:hAnsi="Calibri"/>
          <w:b/>
          <w:bCs/>
          <w:color w:val="365F91"/>
          <w:sz w:val="22"/>
          <w:szCs w:val="22"/>
        </w:rPr>
        <w:t xml:space="preserve">4. Cash Recommendation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4136"/>
      </w:tblGrid>
      <w:t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Scenario</w:t>
            </w:r>
          </w:p>
        </w:tc>
        <w:tc>
          <w:tcPr>
            <w:tcW w:type="dxa" w:w="1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Cash %</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IPS Band</w:t>
            </w:r>
          </w:p>
        </w:tc>
        <w:tc>
          <w:tcPr>
            <w:tcW w:type="dxa" w:w="413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Rationale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Current (pre-action)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10–20% ✓</w:t>
            </w:r>
          </w:p>
        </w:tc>
        <w:tc>
          <w:tcPr>
            <w:tcW w:type="dxa" w:w="41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At self-imposed reactive floor; FOMC hawkish; AI trade volatile. No deploy trigger active. [CONFIRMED]</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If energy trim executes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16.0%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10–20% ✓</w:t>
            </w:r>
          </w:p>
        </w:tc>
        <w:tc>
          <w:tcPr>
            <w:tcW w:type="dxa" w:w="41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XOM −0.5% + EOG −0.5% funded to cash. Maintains defensive posture into hawkish FOMC and AI volatility. [CALIBRATED]</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If ANET entry fires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14.5% / 15.0%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10–20% ✓</w:t>
            </w:r>
          </w:p>
        </w:tc>
        <w:tc>
          <w:tcPr>
            <w:tcW w:type="dxa" w:w="41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−1.5% to fund ANET. Order: execute energy trim first to preserve cash floor. [CALIBRATED]</w:t>
            </w:r>
          </w:p>
        </w:tc>
      </w:tr>
    </w:tbl>
    <w:p>
      <w:pPr>
        <w:spacing w:after="50" w:before="40"/>
      </w:pPr>
      <w:r>
        <w:rPr>
          <w:rFonts w:ascii="Calibri" w:cs="Calibri" w:eastAsia="Calibri" w:hAnsi="Calibri"/>
          <w:sz w:val="18"/>
          <w:szCs w:val="18"/>
        </w:rPr>
        <w:t xml:space="preserve">Recommendation: HOLD 15.0%. Execute energy trim first (→16.0%), then optionally deploy 1.5% into ANET if entry trigger met (floor remains 14.5%, within IPS band).</w:t>
      </w:r>
    </w:p>
    <w:p>
      <w:pPr>
        <w:spacing w:after="40" w:before="100"/>
      </w:pPr>
      <w:r>
        <w:rPr>
          <w:rFonts w:ascii="Calibri" w:cs="Calibri" w:eastAsia="Calibri" w:hAnsi="Calibri"/>
          <w:b/>
          <w:bCs/>
          <w:color w:val="365F91"/>
          <w:sz w:val="22"/>
          <w:szCs w:val="22"/>
        </w:rPr>
        <w:t xml:space="preserve">5. Pending Catalysts — Status Update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900"/>
        <w:gridCol w:w="4536"/>
      </w:tblGrid>
      <w:tr>
        <w:tc>
          <w:tcPr>
            <w:tcW w:type="dxa" w:w="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Ticker</w:t>
            </w:r>
          </w:p>
        </w:tc>
        <w:tc>
          <w:tcPr>
            <w:tcW w:type="dxa" w:w="1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Event</w:t>
            </w:r>
          </w:p>
        </w:tc>
        <w:tc>
          <w:tcPr>
            <w:tcW w:type="dxa" w:w="1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Date</w:t>
            </w:r>
          </w:p>
        </w:tc>
        <w:tc>
          <w:tcPr>
            <w:tcW w:type="dxa" w:w="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Status</w:t>
            </w:r>
          </w:p>
        </w:tc>
        <w:tc>
          <w:tcPr>
            <w:tcW w:type="dxa" w:w="453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Notes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UNH</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Q2 2026 Earnings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Jul 16, 2026</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PENDING</w:t>
            </w:r>
          </w:p>
        </w:tc>
        <w:tc>
          <w:tcPr>
            <w:tcW w:type="dxa" w:w="45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~14 sessions out. BofA PT $475 (raised). DOJ/Optum antitrust = binary risk. Monitor 5-session flag window beginning ~Jul 9.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ORCL</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Dividend Ex-Date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Jul 10, 2026</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INFO</w:t>
            </w:r>
          </w:p>
        </w:tc>
        <w:tc>
          <w:tcPr>
            <w:tcW w:type="dxa" w:w="45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$0.50/share cash dividend. Q4 FY26 beat cleared (Jun 10 AMC). RPO $638B. HOLD 3.5%.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MU</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Carry Resync</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Next quarterly</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FLAG</w:t>
            </w:r>
          </w:p>
        </w:tc>
        <w:tc>
          <w:tcPr>
            <w:tcW w:type="dxa" w:w="45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Tracker carry $235 vs. mkt ~$1,200. Post-blowout earnings (Jun 24). Resync required at next quarterly mark. [CALIBRATED]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UNH</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Carry Resync (11th session)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Next quarterly</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FLAG</w:t>
            </w:r>
          </w:p>
        </w:tc>
        <w:tc>
          <w:tcPr>
            <w:tcW w:type="dxa" w:w="45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Tracker carry $510 vs. mkt ~$412. Resync at next quarterly. DOJ Medicare-billing probes ongoing. [SOURCED]</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SECTOR</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Taxonomy reconciliation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Next quarterly</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FLAG</w:t>
            </w:r>
          </w:p>
        </w:tc>
        <w:tc>
          <w:tcPr>
            <w:tcW w:type="dxa" w:w="453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Tracker-label Technology ~42% (AMZN/GOOGL/CRWD/INTC tagged Tech) vs. 33.5% GICS. No IPS breach under GICS. Confirm taxonomy at Q3 review. [CONFIRMED]</w:t>
            </w:r>
          </w:p>
        </w:tc>
      </w:tr>
    </w:tbl>
    <w:p>
      <w:pPr>
        <w:spacing w:after="40" w:before="100"/>
      </w:pPr>
      <w:r>
        <w:rPr>
          <w:rFonts w:ascii="Calibri" w:cs="Calibri" w:eastAsia="Calibri" w:hAnsi="Calibri"/>
          <w:b/>
          <w:bCs/>
          <w:color w:val="365F91"/>
          <w:sz w:val="22"/>
          <w:szCs w:val="22"/>
        </w:rPr>
        <w:t xml:space="preserve">6. Recommended Weight Changes (Today)</w:t>
      </w:r>
    </w:p>
    <w:p>
      <w:pPr>
        <w:spacing w:after="20" w:before="30"/>
      </w:pPr>
      <w:r>
        <w:rPr>
          <w:rFonts w:ascii="Calibri" w:cs="Calibri" w:eastAsia="Calibri" w:hAnsi="Calibri"/>
          <w:sz w:val="18"/>
          <w:szCs w:val="18"/>
        </w:rPr>
        <w:t xml:space="preserve">ENERGY TRIM — Reiterate and upgrade confidence (MED → MED-HIGH): XOM 3.0% → 2.5%; EOG 2.5% → 2.0%; CASH 15.0% → 16.0%. Carried from Jun 25 as pending manager approval.</w:t>
      </w:r>
    </w:p>
    <w:p>
      <w:pPr>
        <w:spacing w:after="20" w:before="0"/>
      </w:pPr>
      <w:r>
        <w:rPr>
          <w:rFonts w:ascii="Calibri" w:cs="Calibri" w:eastAsia="Calibri" w:hAnsi="Calibri"/>
          <w:sz w:val="18"/>
          <w:szCs w:val="18"/>
        </w:rPr>
        <w:t xml:space="preserve">IPS trigger: WTI sustained multi-session close below $90 (currently $70.14). Pre-mortem condition — "wrong if Hormuz re-escalates within 5 sessions" — is NOT met; the US-Iran peace memorandum confirms Hormuz reopening, removing the war premium that justified the Apr 13 Hormuz rebuild. Confidence: MED-HIGH. Size: XOM −0.5%, EOG −0.5%, CASH +1.0%. Entry: execute at open or market order today. Price stop: reversal not applicable (trim, not add). Thesis stop: Hormuz ceasefire collapses within 5 sessions of trim.</w:t>
      </w:r>
    </w:p>
    <w:p>
      <w:pPr>
        <w:spacing w:after="20" w:before="0"/>
      </w:pPr>
      <w:r>
        <w:rPr>
          <w:rFonts w:ascii="Calibri" w:cs="Calibri" w:eastAsia="Calibri" w:hAnsi="Calibri"/>
          <w:sz w:val="18"/>
          <w:szCs w:val="18"/>
        </w:rPr>
        <w:t xml:space="preserve">Post-trade IPS check: XOM 2.5% ≤ 7.0% ✓ | EOG 2.0% ≤ 7.0% ✓ | Energy sector 4.5% ≤ 35.0% ✓ | Cash 16.0% in [10%,20%] ✓ | All other constraints unchanged ✓.</w:t>
      </w:r>
    </w:p>
    <w:p>
      <w:pPr>
        <w:spacing w:after="50" w:before="0"/>
      </w:pPr>
      <w:r>
        <w:rPr>
          <w:rFonts w:ascii="Calibri" w:cs="Calibri" w:eastAsia="Calibri" w:hAnsi="Calibri"/>
          <w:sz w:val="18"/>
          <w:szCs w:val="18"/>
        </w:rPr>
        <w:t xml:space="preserve">All other positions: HOLD at current targets. No additional trades recommended today.</w:t>
      </w:r>
    </w:p>
    <w:p>
      <w:pPr>
        <w:spacing w:after="40" w:before="100"/>
      </w:pPr>
      <w:r>
        <w:rPr>
          <w:rFonts w:ascii="Calibri" w:cs="Calibri" w:eastAsia="Calibri" w:hAnsi="Calibri"/>
          <w:b/>
          <w:bCs/>
          <w:color w:val="365F91"/>
          <w:sz w:val="22"/>
          <w:szCs w:val="22"/>
        </w:rPr>
        <w:t xml:space="preserve">7. Full Portfolio — 27 Positions + Cash (Pre-Trade Weights)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50"/>
        <w:gridCol w:w="700"/>
        <w:gridCol w:w="2300"/>
        <w:gridCol w:w="1200"/>
        <w:gridCol w:w="800"/>
        <w:gridCol w:w="900"/>
        <w:gridCol w:w="2586"/>
      </w:tblGrid>
      <w:tr>
        <w:tc>
          <w:tcPr>
            <w:tcW w:type="dxa" w:w="4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w:t>
            </w:r>
          </w:p>
        </w:tc>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Ticker</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Company / Note</w:t>
            </w:r>
          </w:p>
        </w:tc>
        <w:tc>
          <w:tcPr>
            <w:tcW w:type="dxa" w:w="1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Sector</w:t>
            </w:r>
          </w:p>
        </w:tc>
        <w:tc>
          <w:tcPr>
            <w:tcW w:type="dxa" w:w="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Weight</w:t>
            </w:r>
          </w:p>
        </w:tc>
        <w:tc>
          <w:tcPr>
            <w:tcW w:type="dxa" w:w="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Carry Px</w:t>
            </w:r>
          </w:p>
        </w:tc>
        <w:tc>
          <w:tcPr>
            <w:tcW w:type="dxa" w:w="258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6"/>
                <w:szCs w:val="16"/>
              </w:rPr>
              <w:t xml:space="preserve">Status / Next</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NVDA</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NVIDIA Corporation</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6.5%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$181.86</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Near 7.0% cap; AI trade pressure</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AMZN</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Amazon.com,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5.5%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$211.00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AWS AI revenue; tariff watch</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META</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Meta Platforms, Inc.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Comm Services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$575.00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Ad-AI targeting; down ~2% Jun 25</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LLY</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Eli Lilly and Company</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Healthcare</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$944.00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GLP-1; 4E acq Jun 16</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JPM</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JPMorgan Chase &amp; Co.</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Financials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$295.63</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Record trading rev; credit watch</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AVGO</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Broadcom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$265.00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AI guide miss; HOLD thesis intact</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MSFT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Microsoft Corporation</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$360.00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Burry long calls; Azure/Copilot</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PANW</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Palo Alto Networks,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$185.00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PQC mandate; outperforming</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QQQ</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Invesco QQQ Trust</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ETF</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$490.00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Nasdaq-100 proxy; −1.52% futures</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ORCL</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Oracle Corporation</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$144.43</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RPO $638B; div ex Jul 10</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GOOGL</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Alphabet Inc.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$175.00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Gemini; −1.4% Jun 25</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PLTR</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Palantir Technologies,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$141.17</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FLAG: −40% YTD drift</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UNH</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UnitedHealth Group Inc.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Healthcare</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$510.00†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FLAG: carry resync; Q2 Jul 16</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XOM</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Exxon Mobil Corporation</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Energy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3.0%→2.5%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$161.14†</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REC TRIM — IPS trigger met</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V</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Visa Inc.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Financials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$303.62</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Cross-border growth; stable</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TSM</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Taiwan Semi. Mfg.</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$178.00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Chip selloff; foundry thesis intact</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VUG</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Vanguard Growth ETF</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ETF</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$390.00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Growth ETF; down with NDX</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18</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SCHD</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Schwab US Dividend ETF</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ETF</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$30.50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Defensive; 3.5% yield</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19</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MU</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Micron Technology, Inc.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$235.00†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FLAG: carry $235 vs. mkt $1,200</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20</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EOG</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EOG Resources,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Energy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2.5%→2.0%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$135.00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REC TRIM — energy pair</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21</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COST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Costco Wholesale Corp.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Cons. Staples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$1,016.57</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Membership model; defensive</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22</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DASH</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DoorDash,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Cons. Disc.</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$200.00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18% GOV CAGR; stable</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23</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NEE</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NextEra Energy, Inc.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Utilities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2.0%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$80.00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AI power demand; renewables</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24</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ABBV</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AbbVie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Healthcare</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$195.00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Skyrizi/Rinvoq pipeline</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25</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NFLX</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Netflix, Inc.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Comm Services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$1,050.00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Ad tier; 12% rev CAGR</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26</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CRWD</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CrowdStrike Holdings, Inc.</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$450.00</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AI-native endpoint security</w:t>
            </w:r>
          </w:p>
        </w:tc>
      </w:tr>
      <w:tr>
        <w:tc>
          <w:tcPr>
            <w:tcW w:type="dxa" w:w="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27</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INTC</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Intel Corporation</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Technology</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$34.00</w:t>
            </w:r>
          </w:p>
        </w:tc>
        <w:tc>
          <w:tcPr>
            <w:tcW w:type="dxa" w:w="258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18A ramp; chip selloff watch</w:t>
            </w:r>
          </w:p>
        </w:tc>
      </w:tr>
      <w:tr>
        <w:tc>
          <w:tcPr>
            <w:tcW w:type="dxa" w:w="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center"/>
            </w:pPr>
            <w:r>
              <w:rPr>
                <w:rFonts w:ascii="Calibri" w:cs="Calibri" w:eastAsia="Calibri" w:hAnsi="Calibri"/>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bCs/>
                <w:color w:val="000000"/>
                <w:sz w:val="16"/>
                <w:szCs w:val="16"/>
              </w:rPr>
              <w:t xml:space="preserve">CASH</w:t>
            </w:r>
          </w:p>
        </w:tc>
        <w:tc>
          <w:tcPr>
            <w:tcW w:type="dxa" w:w="2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Cash / Money Market 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Cash</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15.0%</w:t>
            </w:r>
          </w:p>
        </w:tc>
        <w:tc>
          <w:tcPr>
            <w:tcW w:type="dxa" w:w="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onsolas" w:cs="Consolas" w:eastAsia="Consolas" w:hAnsi="Consolas"/>
                <w:b w:val="false"/>
                <w:bCs w:val="false"/>
                <w:color w:val="000000"/>
                <w:sz w:val="15"/>
                <w:szCs w:val="15"/>
              </w:rPr>
              <w:t xml:space="preserve">—</w:t>
            </w:r>
          </w:p>
        </w:tc>
        <w:tc>
          <w:tcPr>
            <w:tcW w:type="dxa" w:w="25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0" w:before="0"/>
              <w:jc w:val="left"/>
            </w:pPr>
            <w:r>
              <w:rPr>
                <w:rFonts w:ascii="Calibri" w:cs="Calibri" w:eastAsia="Calibri" w:hAnsi="Calibri"/>
                <w:b w:val="false"/>
                <w:bCs w:val="false"/>
                <w:color w:val="000000"/>
                <w:sz w:val="16"/>
                <w:szCs w:val="16"/>
              </w:rPr>
              <w:t xml:space="preserve">→16.0% if energy trim executes</w:t>
            </w:r>
          </w:p>
        </w:tc>
      </w:tr>
      <w:tr>
        <w:tc>
          <w:tcPr>
            <w:tcW w:type="dxa" w:w="4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left"/>
            </w:pPr>
            <w:r>
              <w:rPr>
                <w:rFonts w:ascii="Calibri" w:cs="Calibri" w:eastAsia="Calibri" w:hAnsi="Calibri"/>
                <w:b/>
                <w:bCs/>
                <w:color w:val="FFFFFF"/>
                <w:sz w:val="16"/>
                <w:szCs w:val="16"/>
              </w:rPr>
              <w:t xml:space="preserve">—</w:t>
            </w:r>
          </w:p>
        </w:tc>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left"/>
            </w:pPr>
            <w:r>
              <w:rPr>
                <w:rFonts w:ascii="Calibri" w:cs="Calibri" w:eastAsia="Calibri" w:hAnsi="Calibri"/>
                <w:b/>
                <w:bCs/>
                <w:color w:val="FFFFFF"/>
                <w:sz w:val="16"/>
                <w:szCs w:val="16"/>
              </w:rPr>
              <w:t xml:space="preserve">TOTAL</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left"/>
            </w:pPr>
            <w:r>
              <w:rPr>
                <w:rFonts w:ascii="Calibri" w:cs="Calibri" w:eastAsia="Calibri" w:hAnsi="Calibri"/>
                <w:b/>
                <w:bCs/>
                <w:color w:val="FFFFFF"/>
                <w:sz w:val="16"/>
                <w:szCs w:val="16"/>
              </w:rPr>
              <w:t xml:space="preserve">28 Lines (27 Equity/ETF + Cash)</w:t>
            </w:r>
          </w:p>
        </w:tc>
        <w:tc>
          <w:tcPr>
            <w:tcW w:type="dxa" w:w="1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left"/>
            </w:pPr>
            <w:r>
              <w:rPr>
                <w:rFonts w:ascii="Calibri" w:cs="Calibri" w:eastAsia="Calibri" w:hAnsi="Calibri"/>
                <w:b/>
                <w:bCs/>
                <w:color w:val="FFFFFF"/>
                <w:sz w:val="16"/>
                <w:szCs w:val="16"/>
              </w:rPr>
              <w:t xml:space="preserve">—</w:t>
            </w:r>
          </w:p>
        </w:tc>
        <w:tc>
          <w:tcPr>
            <w:tcW w:type="dxa" w:w="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left"/>
            </w:pPr>
            <w:r>
              <w:rPr>
                <w:rFonts w:ascii="Consolas" w:cs="Consolas" w:eastAsia="Consolas" w:hAnsi="Consolas"/>
                <w:b/>
                <w:bCs/>
                <w:color w:val="FFFFFF"/>
                <w:sz w:val="15"/>
                <w:szCs w:val="15"/>
              </w:rPr>
              <w:t xml:space="preserve">100.0%</w:t>
            </w:r>
          </w:p>
        </w:tc>
        <w:tc>
          <w:tcPr>
            <w:tcW w:type="dxa" w:w="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left"/>
            </w:pPr>
            <w:r>
              <w:rPr>
                <w:rFonts w:ascii="Calibri" w:cs="Calibri" w:eastAsia="Calibri" w:hAnsi="Calibri"/>
                <w:b/>
                <w:bCs/>
                <w:color w:val="FFFFFF"/>
                <w:sz w:val="16"/>
                <w:szCs w:val="16"/>
              </w:rPr>
              <w:t xml:space="preserve">—</w:t>
            </w:r>
          </w:p>
        </w:tc>
        <w:tc>
          <w:tcPr>
            <w:tcW w:type="dxa" w:w="258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center"/>
          </w:tcPr>
          <w:p>
            <w:pPr>
              <w:spacing w:after="0" w:before="0"/>
              <w:jc w:val="left"/>
            </w:pPr>
            <w:r>
              <w:rPr>
                <w:rFonts w:ascii="Calibri" w:cs="Calibri" w:eastAsia="Calibri" w:hAnsi="Calibri"/>
                <w:b/>
                <w:bCs/>
                <w:color w:val="FFFFFF"/>
                <w:sz w:val="16"/>
                <w:szCs w:val="16"/>
              </w:rPr>
              <w:t xml:space="preserve">Pre-trade sum; post-trim: XOM 2.5% + EOG 2.0% + CASH 16.0% = 100.0% ✓</w:t>
            </w:r>
          </w:p>
        </w:tc>
      </w:tr>
    </w:tbl>
    <w:p>
      <w:pPr>
        <w:spacing w:after="10" w:before="30"/>
      </w:pPr>
      <w:r>
        <w:rPr>
          <w:rFonts w:ascii="Calibri" w:cs="Calibri" w:eastAsia="Calibri" w:hAnsi="Calibri"/>
          <w:sz w:val="18"/>
          <w:szCs w:val="18"/>
        </w:rPr>
        <w:t xml:space="preserve">* AMZN and GOOGL are tagged Technology in the tracker; GICS classifies AMZN → Consumer Discretionary, GOOGL → Communication Services. Under GICS, Technology sector weight = 33.5% (within 35% IPS cap). See Section 5 sector-label FLAG.</w:t>
      </w:r>
    </w:p>
    <w:p>
      <w:pPr>
        <w:spacing w:after="30" w:before="0"/>
      </w:pPr>
      <w:r>
        <w:rPr>
          <w:rFonts w:ascii="Calibri" w:cs="Calibri" w:eastAsia="Calibri" w:hAnsi="Calibri"/>
          <w:sz w:val="18"/>
          <w:szCs w:val="18"/>
        </w:rPr>
        <w:t xml:space="preserve">† Carry-value flag: UNH tracker $510 vs. mkt ~$412; MU tracker $235 vs. mkt ~$1,200. Both flagged for resync at next quarterly mark. Weights (%) are unaffected.</w:t>
      </w:r>
    </w:p>
    <w:p>
      <w:pPr>
        <w:spacing w:after="50" w:before="20"/>
      </w:pPr>
      <w:r>
        <w:rPr>
          <w:rFonts w:ascii="Calibri" w:cs="Calibri" w:eastAsia="Calibri" w:hAnsi="Calibri"/>
          <w:b/>
          <w:bCs/>
          <w:color w:val="0B6E3D"/>
          <w:sz w:val="18"/>
          <w:szCs w:val="18"/>
        </w:rPr>
        <w:t xml:space="preserve">Portfolio sum verified: 100.0% = 100.0% ✓  (pre-trade)  |  Post-trim: XOM 2.5% + EOG 2.0% + CASH 16.0% = 100.0% ✓</w:t>
      </w:r>
    </w:p>
    <w:p>
      <w:pPr>
        <w:spacing w:after="40" w:before="100"/>
      </w:pPr>
      <w:r>
        <w:rPr>
          <w:rFonts w:ascii="Calibri" w:cs="Calibri" w:eastAsia="Calibri" w:hAnsi="Calibri"/>
          <w:b/>
          <w:bCs/>
          <w:color w:val="365F91"/>
          <w:sz w:val="22"/>
          <w:szCs w:val="22"/>
        </w:rPr>
        <w:t xml:space="preserve">8. Sources &amp; Methodology</w:t>
      </w:r>
    </w:p>
    <w:p>
      <w:pPr>
        <w:pStyle w:val="ListParagraph"/>
        <w:numPr>
          <w:ilvl w:val="0"/>
          <w:numId w:val="2"/>
        </w:numPr>
        <w:spacing w:after="20" w:before="20"/>
      </w:pPr>
      <w:r>
        <w:rPr>
          <w:rFonts w:ascii="Calibri" w:cs="Calibri" w:eastAsia="Calibri" w:hAnsi="Calibri"/>
          <w:sz w:val="16"/>
          <w:szCs w:val="16"/>
        </w:rPr>
        <w:t xml:space="preserve">TheStreet — Stock Market Today June 26, 2026 (S&amp;P 500, Nasdaq pre-market levels; tech sell-off driver). SOURCED.</w:t>
      </w:r>
    </w:p>
    <w:p>
      <w:pPr>
        <w:pStyle w:val="ListParagraph"/>
        <w:numPr>
          <w:ilvl w:val="0"/>
          <w:numId w:val="2"/>
        </w:numPr>
        <w:spacing w:after="20" w:before="20"/>
      </w:pPr>
      <w:r>
        <w:rPr>
          <w:rFonts w:ascii="Calibri" w:cs="Calibri" w:eastAsia="Calibri" w:hAnsi="Calibri"/>
          <w:sz w:val="16"/>
          <w:szCs w:val="16"/>
        </w:rPr>
        <w:t xml:space="preserve">Investing.com / Barchart — S&amp;P 500 E-Mini, Nasdaq-100 E-Mini, WTI futures (Jun 26 pre-market prices). SOURCED.</w:t>
      </w:r>
    </w:p>
    <w:p>
      <w:pPr>
        <w:pStyle w:val="ListParagraph"/>
        <w:numPr>
          <w:ilvl w:val="0"/>
          <w:numId w:val="2"/>
        </w:numPr>
        <w:spacing w:after="20" w:before="20"/>
      </w:pPr>
      <w:r>
        <w:rPr>
          <w:rFonts w:ascii="Calibri" w:cs="Calibri" w:eastAsia="Calibri" w:hAnsi="Calibri"/>
          <w:sz w:val="16"/>
          <w:szCs w:val="16"/>
        </w:rPr>
        <w:t xml:space="preserve">TradingEconomics / CNBC — 10-Year Treasury yield ~4.39–4.45% (Jun 25–26 close). SOURCED.</w:t>
      </w:r>
    </w:p>
    <w:p>
      <w:pPr>
        <w:pStyle w:val="ListParagraph"/>
        <w:numPr>
          <w:ilvl w:val="0"/>
          <w:numId w:val="2"/>
        </w:numPr>
        <w:spacing w:after="20" w:before="20"/>
      </w:pPr>
      <w:r>
        <w:rPr>
          <w:rFonts w:ascii="Calibri" w:cs="Calibri" w:eastAsia="Calibri" w:hAnsi="Calibri"/>
          <w:sz w:val="16"/>
          <w:szCs w:val="16"/>
        </w:rPr>
        <w:t xml:space="preserve">CNBC / Trading Economics — WTI crude oil $70.14/bbl (Jun 26); US-Iran peace memorandum; Hormuz reopening (Jun 18–26). SOURCED.</w:t>
      </w:r>
    </w:p>
    <w:p>
      <w:pPr>
        <w:pStyle w:val="ListParagraph"/>
        <w:numPr>
          <w:ilvl w:val="0"/>
          <w:numId w:val="2"/>
        </w:numPr>
        <w:spacing w:after="20" w:before="20"/>
      </w:pPr>
      <w:r>
        <w:rPr>
          <w:rFonts w:ascii="Calibri" w:cs="Calibri" w:eastAsia="Calibri" w:hAnsi="Calibri"/>
          <w:sz w:val="16"/>
          <w:szCs w:val="16"/>
        </w:rPr>
        <w:t xml:space="preserve">CNBC / HeyGoTrade / Intellectia.ai — Broadcom (AVGO) Q3 FY26 AI guidance $16B vs. $17.2B est.; CEO did not raise $100B full-year AI chip target; stock −12.6–15%. SOURCED.</w:t>
      </w:r>
    </w:p>
    <w:p>
      <w:pPr>
        <w:pStyle w:val="ListParagraph"/>
        <w:numPr>
          <w:ilvl w:val="0"/>
          <w:numId w:val="2"/>
        </w:numPr>
        <w:spacing w:after="20" w:before="20"/>
      </w:pPr>
      <w:r>
        <w:rPr>
          <w:rFonts w:ascii="Calibri" w:cs="Calibri" w:eastAsia="Calibri" w:hAnsi="Calibri"/>
          <w:sz w:val="16"/>
          <w:szCs w:val="16"/>
        </w:rPr>
        <w:t xml:space="preserve">Micron 8-K / CNBC / Indmoney (Jun 24–25, 2026) — MU FQ3 FY26 results: rev $41.46B, EPS $25.11; Q4 guide $50B. PT raises TD Cowen/BofA → $1,500. SOURCED.</w:t>
      </w:r>
    </w:p>
    <w:p>
      <w:pPr>
        <w:pStyle w:val="ListParagraph"/>
        <w:numPr>
          <w:ilvl w:val="0"/>
          <w:numId w:val="2"/>
        </w:numPr>
        <w:spacing w:after="20" w:before="20"/>
      </w:pPr>
      <w:r>
        <w:rPr>
          <w:rFonts w:ascii="Calibri" w:cs="Calibri" w:eastAsia="Calibri" w:hAnsi="Calibri"/>
          <w:sz w:val="16"/>
          <w:szCs w:val="16"/>
        </w:rPr>
        <w:t xml:space="preserve">Yahoo Finance / TradingView — NVDA pre-market $192.46 (−1.68%); chip sector −10% Jun 25. SOURCED.</w:t>
      </w:r>
    </w:p>
    <w:p>
      <w:pPr>
        <w:pStyle w:val="ListParagraph"/>
        <w:numPr>
          <w:ilvl w:val="0"/>
          <w:numId w:val="2"/>
        </w:numPr>
        <w:spacing w:after="20" w:before="20"/>
      </w:pPr>
      <w:r>
        <w:rPr>
          <w:rFonts w:ascii="Calibri" w:cs="Calibri" w:eastAsia="Calibri" w:hAnsi="Calibri"/>
          <w:sz w:val="16"/>
          <w:szCs w:val="16"/>
        </w:rPr>
        <w:t xml:space="preserve">TradingKey (Jun 25, 2026) — PANW +3.05%; post-quantum cryptography federal mandate. SOURCED.</w:t>
      </w:r>
    </w:p>
    <w:p>
      <w:pPr>
        <w:pStyle w:val="ListParagraph"/>
        <w:numPr>
          <w:ilvl w:val="0"/>
          <w:numId w:val="2"/>
        </w:numPr>
        <w:spacing w:after="20" w:before="20"/>
      </w:pPr>
      <w:r>
        <w:rPr>
          <w:rFonts w:ascii="Calibri" w:cs="Calibri" w:eastAsia="Calibri" w:hAnsi="Calibri"/>
          <w:sz w:val="16"/>
          <w:szCs w:val="16"/>
        </w:rPr>
        <w:t xml:space="preserve">GuruFocus / Yahoo Finance (Jun 26, 2026) — MSFT ~$356 pre-market (+1%); Michael Burry long Dec 2028 call options. SOURCED.</w:t>
      </w:r>
    </w:p>
    <w:p>
      <w:pPr>
        <w:pStyle w:val="ListParagraph"/>
        <w:numPr>
          <w:ilvl w:val="0"/>
          <w:numId w:val="2"/>
        </w:numPr>
        <w:spacing w:after="20" w:before="20"/>
      </w:pPr>
      <w:r>
        <w:rPr>
          <w:rFonts w:ascii="Calibri" w:cs="Calibri" w:eastAsia="Calibri" w:hAnsi="Calibri"/>
          <w:sz w:val="16"/>
          <w:szCs w:val="16"/>
        </w:rPr>
        <w:t xml:space="preserve">MarketBeat / Simply Wall St / BofA (May–Jun 2026) — UNH BofA PT raised $475; Q2 earnings Jul 16. SOURCED.</w:t>
      </w:r>
    </w:p>
    <w:p>
      <w:pPr>
        <w:pStyle w:val="ListParagraph"/>
        <w:numPr>
          <w:ilvl w:val="0"/>
          <w:numId w:val="2"/>
        </w:numPr>
        <w:spacing w:after="20" w:before="20"/>
      </w:pPr>
      <w:r>
        <w:rPr>
          <w:rFonts w:ascii="Calibri" w:cs="Calibri" w:eastAsia="Calibri" w:hAnsi="Calibri"/>
          <w:sz w:val="16"/>
          <w:szCs w:val="16"/>
        </w:rPr>
        <w:t xml:space="preserve">TradingKey / Yahoo Finance — ORCL ~$149 (Jun 26); dividend $0.50 ex-date Jul 10. SOURCED.</w:t>
      </w:r>
    </w:p>
    <w:p>
      <w:pPr>
        <w:pStyle w:val="ListParagraph"/>
        <w:numPr>
          <w:ilvl w:val="0"/>
          <w:numId w:val="2"/>
        </w:numPr>
        <w:spacing w:after="20" w:before="20"/>
      </w:pPr>
      <w:r>
        <w:rPr>
          <w:rFonts w:ascii="Calibri" w:cs="Calibri" w:eastAsia="Calibri" w:hAnsi="Calibri"/>
          <w:sz w:val="16"/>
          <w:szCs w:val="16"/>
        </w:rPr>
        <w:t xml:space="preserve">KeyBanc / BofA / Morgan Stanley (Jun 18–22, 2026) — ANET PT raised to $200; Buy/Overweight consensus. SOURCED.</w:t>
      </w:r>
    </w:p>
    <w:p>
      <w:pPr>
        <w:pStyle w:val="ListParagraph"/>
        <w:numPr>
          <w:ilvl w:val="0"/>
          <w:numId w:val="2"/>
        </w:numPr>
        <w:spacing w:after="20" w:before="20"/>
      </w:pPr>
      <w:r>
        <w:rPr>
          <w:rFonts w:ascii="Calibri" w:cs="Calibri" w:eastAsia="Calibri" w:hAnsi="Calibri"/>
          <w:sz w:val="16"/>
          <w:szCs w:val="16"/>
        </w:rPr>
        <w:t xml:space="preserve">BLS CPI / Cleveland Fed / CNBC — May PCE +4.1% YoY (released Jun 25). SOURCED.</w:t>
      </w:r>
    </w:p>
    <w:p>
      <w:pPr>
        <w:pStyle w:val="ListParagraph"/>
        <w:numPr>
          <w:ilvl w:val="0"/>
          <w:numId w:val="2"/>
        </w:numPr>
        <w:spacing w:after="20" w:before="20"/>
      </w:pPr>
      <w:r>
        <w:rPr>
          <w:rFonts w:ascii="Calibri" w:cs="Calibri" w:eastAsia="Calibri" w:hAnsi="Calibri"/>
          <w:sz w:val="16"/>
          <w:szCs w:val="16"/>
        </w:rPr>
        <w:t xml:space="preserve">Internal — Cowork session (Jun 26, 2026) — Portfolio weights, carry values, IPS constraints. CONFIRMED.</w:t>
      </w:r>
    </w:p>
    <w:p>
      <w:pPr>
        <w:pStyle w:val="ListParagraph"/>
        <w:numPr>
          <w:ilvl w:val="0"/>
          <w:numId w:val="2"/>
        </w:numPr>
        <w:spacing w:after="20" w:before="20"/>
      </w:pPr>
      <w:r>
        <w:rPr>
          <w:rFonts w:ascii="Calibri" w:cs="Calibri" w:eastAsia="Calibri" w:hAnsi="Calibri"/>
          <w:sz w:val="16"/>
          <w:szCs w:val="16"/>
        </w:rPr>
        <w:t xml:space="preserve">Methodology: All weight figures are target allocations from WM_Growth_Portfolio_Apr2026.xlsx Holdings sheet (CONFIRMED ground truth). Actual market-value weights may differ due to price drift; rebalance triggered when ±0.50% vs. target. Carry prices marked to last available session close in tracker (MU and UNH carry flags noted). Risk metrics (beta, TE, vol) not computed in this pre-market run given absence of new return observation. CALIBRATED figures are limited to carry-value estimates and post-trade cash projections.</w:t>
      </w:r>
    </w:p>
    <w:p>
      <w:pPr>
        <w:spacing w:after="0" w:before="60"/>
      </w:pPr>
      <w:r>
        <w:rPr>
          <w:rFonts w:ascii="Calibri" w:cs="Calibri" w:eastAsia="Calibri" w:hAnsi="Calibri"/>
          <w:color w:val="777777"/>
          <w:sz w:val="14"/>
          <w:szCs w:val="14"/>
        </w:rPr>
        <w:t xml:space="preserve">DISCLAIMER: This report is prepared for internal portfolio management purposes only. It does not constitute investment advice, an offer to sell, or a solicitation to buy any security. All holdings and recommendations are subject to the WM Growth Portfolio Investment Policy Statement v1.0. Past performance is not indicative of future results. Prices and data are as of the pre-market session, June 26, 2026, and may change materially by market open. Every numeric figure is tagged SOURCED, CONFIRMED, or CALIBRATED per IPS §7. CALIBRATED figures are used only for carry-value estimates and projected post-trade weights.</w:t>
      </w:r>
    </w:p>
    <w:sectPr>
      <w:headerReference w:type="default" r:id="rId7"/>
      <w:footerReference w:type="default" r:id="rId8"/>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after="0" w:before="80"/>
      <w:jc w:val="right"/>
    </w:pP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Generated by WM Portfolio Automation  |  IPS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pPr>
    <w:r>
      <w:rPr>
        <w:rFonts w:ascii="Calibri" w:cs="Calibri" w:eastAsia="Calibri" w:hAnsi="Calibri"/>
        <w:b/>
        <w:bCs/>
        <w:color w:val="1F4E79"/>
        <w:sz w:val="16"/>
        <w:szCs w:val="16"/>
      </w:rPr>
      <w:t xml:space="preserve">WM GROWTH PORTFOLIO</w:t>
    </w:r>
    <w:r>
      <w:rPr>
        <w:rFonts w:ascii="Calibri" w:cs="Calibri" w:eastAsia="Calibri" w:hAnsi="Calibri"/>
        <w:color w:val="555555"/>
        <w:sz w:val="16"/>
        <w:szCs w:val="16"/>
      </w:rPr>
      <w:t xml:space="preserve">    |    DAILY PRE-MARKET REPORT — JUNE 26,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2026-06-26T14:03:08.673Z</dcterms:created>
  <dcterms:modified xsi:type="dcterms:W3CDTF">2026-06-26T14:03:08.673Z</dcterms:modified>
</cp:coreProperties>
</file>

<file path=docProps/custom.xml><?xml version="1.0" encoding="utf-8"?>
<Properties xmlns="http://schemas.openxmlformats.org/officeDocument/2006/custom-properties" xmlns:vt="http://schemas.openxmlformats.org/officeDocument/2006/docPropsVTypes"/>
</file>