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DAILY PRE-MARKET PORTFOLIO REPORT</w:t>
      </w:r>
    </w:p>
    <w:p>
      <w:pPr>
        <w:jc w:val="center"/>
      </w:pPr>
      <w:r>
        <w:rPr>
          <w:rFonts w:ascii="Calibri" w:hAnsi="Calibri"/>
          <w:i/>
          <w:sz w:val="22"/>
        </w:rPr>
        <w:t>Long-Term Growth Portfolio  |  Active Wealth Management</w:t>
      </w:r>
    </w:p>
    <w:p>
      <w:pPr>
        <w:jc w:val="center"/>
      </w:pPr>
      <w:r>
        <w:rPr>
          <w:rFonts w:ascii="Calibri" w:hAnsi="Calibri"/>
          <w:color w:val="555555"/>
          <w:sz w:val="20"/>
        </w:rPr>
        <w:t>Report Date: Monday, May 11, 2026  |  Benchmark: S&amp;P 500  |  Horizon: Long-Term Growth</w:t>
      </w:r>
    </w:p>
    <w:p>
      <w:pPr>
        <w:spacing w:before="160" w:after="80"/>
      </w:pPr>
      <w:r>
        <w:rPr>
          <w:rFonts w:ascii="Calibri" w:hAnsi="Calibri"/>
          <w:b/>
          <w:color w:val="365F91"/>
          <w:sz w:val="28"/>
        </w:rPr>
        <w:t>1. Market Snapshot — Pre-Market / Macro</w:t>
      </w:r>
    </w:p>
    <w:tbl>
      <w:tblPr>
        <w:tblW w:type="auto" w:w="0"/>
        <w:jc w:val="left"/>
        <w:tblLook w:firstColumn="1" w:firstRow="1" w:lastColumn="0" w:lastRow="0" w:noHBand="0" w:noVBand="1" w:val="04A0"/>
      </w:tblPr>
      <w:tblGrid>
        <w:gridCol w:w="2484"/>
        <w:gridCol w:w="2484"/>
        <w:gridCol w:w="2484"/>
        <w:gridCol w:w="2484"/>
      </w:tblGrid>
      <w:tr>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Instrument</w:t>
            </w:r>
          </w:p>
        </w:tc>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Level</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Change</w:t>
            </w:r>
          </w:p>
        </w:tc>
        <w:tc>
          <w:tcPr>
            <w:tcW w:type="dxa" w:w="129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Tag</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S&amp;P 500 e-minis (Sun PM)</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−0.2% (early)</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Nasdaq 100 e-minis (Sun PM)</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−0.2% (early)</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Dow futures (Sun PM)</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−0.3% (early)</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WTI crude (front)</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≈$95.4/bbl Fri close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Setting up for Mon rally on Iran-deal failure</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Brent crude</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≈$101/bbl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Hormuz risk premium intact</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Week-ahead macro</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CPI Tue; PPI Wed; Warsh vote Wed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Binary inflation week</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Last cash close (Fri 5/8)</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S&amp;P 7,400 area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NFP +115k beat carried into Friday</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bl>
    <w:p>
      <w:pPr>
        <w:spacing w:after="80"/>
      </w:pPr>
      <w:r>
        <w:rPr>
          <w:rFonts w:ascii="Calibri" w:hAnsi="Calibri"/>
          <w:b w:val="0"/>
          <w:i w:val="0"/>
          <w:sz w:val="20"/>
        </w:rPr>
        <w:t>Macro lens. Risk-on Friday close (NFP +115k beat) gives way to a defensive Sunday-night futures tape ahead of the week's binary calendar: April CPI Tuesday, April PPI Wednesday, and the Senate confirmation vote on Kevin Warsh as Fed Chair Wednesday. Iran ceasefire described by Trump over the weekend as "unbelievably weak" — counteroffer rejected. Oil set up to rally on the open. Portfolio remains in reactive posture with cash at 15.0% floor; defensive into CPI.</w:t>
      </w:r>
    </w:p>
    <w:p>
      <w:pPr>
        <w:spacing w:before="160" w:after="80"/>
      </w:pPr>
      <w:r>
        <w:rPr>
          <w:rFonts w:ascii="Calibri" w:hAnsi="Calibri"/>
          <w:b/>
          <w:color w:val="365F91"/>
          <w:sz w:val="28"/>
        </w:rPr>
        <w:t>2. Scan 1 — Holdings Review (Affected Names)</w:t>
      </w:r>
    </w:p>
    <w:tbl>
      <w:tblPr>
        <w:tblW w:type="auto" w:w="0"/>
        <w:jc w:val="left"/>
        <w:tblLook w:firstColumn="1" w:firstRow="1" w:lastColumn="0" w:lastRow="0" w:noHBand="0" w:noVBand="1" w:val="04A0"/>
      </w:tblPr>
      <w:tblGrid>
        <w:gridCol w:w="2484"/>
        <w:gridCol w:w="2484"/>
        <w:gridCol w:w="2484"/>
        <w:gridCol w:w="2484"/>
      </w:tblGrid>
      <w:tr>
        <w:tc>
          <w:tcPr>
            <w:tcW w:type="dxa" w:w="1872"/>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Wt</w:t>
            </w:r>
          </w:p>
        </w:tc>
        <w:tc>
          <w:tcPr>
            <w:tcW w:type="dxa" w:w="50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Catalyst / Read-Through</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Action</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6.5%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Memory / semis bid into the week; AI-infra narrative intact. Q1 fiscal 2027 print May 20 AMC the major focal point.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6.5% — at cap</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Memory rally narrative carrying from prior week; HBM3E demand and ARM supply-cap read-through.</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2.5% — cash floor blocks add</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XOM / EOG</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 / 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Friday WTI in mid-$90s; Trump-Iran impasse over weekend supportive of energy bid Monday.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at rebuilt weights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Carry-value FLAG ($510 tracker vs market $370-area) carries into a 5th session. DOJ Medicare-billing overhang persists.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 — FLAG persists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LLY / ABBV</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4.5 / 1.5%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Healthcare names quiet weekend; no new catalyst.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PANW / CRWD</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4.0 / 1.5%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Cybersecurity overhang from prior OpenAI in-platform feature persists; thesis intact.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w:t>
            </w:r>
          </w:p>
        </w:tc>
      </w:tr>
    </w:tbl>
    <w:p>
      <w:pPr>
        <w:spacing w:before="160" w:after="80"/>
      </w:pPr>
      <w:r>
        <w:rPr>
          <w:rFonts w:ascii="Calibri" w:hAnsi="Calibri"/>
          <w:b/>
          <w:color w:val="365F91"/>
          <w:sz w:val="28"/>
        </w:rPr>
        <w:t>3. Scan 2 — New Opportunities &amp; Watchlist</w:t>
      </w:r>
    </w:p>
    <w:tbl>
      <w:tblPr>
        <w:tblW w:type="auto" w:w="0"/>
        <w:jc w:val="left"/>
        <w:tblLook w:firstColumn="1" w:firstRow="1" w:lastColumn="0" w:lastRow="0" w:noHBand="0" w:noVBand="1" w:val="04A0"/>
      </w:tblPr>
      <w:tblGrid>
        <w:gridCol w:w="1656"/>
        <w:gridCol w:w="1656"/>
        <w:gridCol w:w="1656"/>
        <w:gridCol w:w="1656"/>
        <w:gridCol w:w="1656"/>
        <w:gridCol w:w="1656"/>
      </w:tblGrid>
      <w:tr>
        <w:tc>
          <w:tcPr>
            <w:tcW w:type="dxa" w:w="100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Conf</w:t>
            </w:r>
          </w:p>
        </w:tc>
        <w:tc>
          <w:tcPr>
            <w:tcW w:type="dxa" w:w="158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Size</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Entry Trigger</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Price Stop / Thesis Stop</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Pre-mortem</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ARM</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LOW</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1.0%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Sustained close &lt;$130 with supply-capacity guidance update</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$118 / Thesis: AI-edge royalty &lt;30%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AGI-CPU supply gap proves transient AND the multiple does not compress</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SPOT</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MED</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1.5%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&lt;$650 sustained close (price long met; cash floor blocks)</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$610 (-6%) / Thesis: ad-rev &lt;8%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podcast/ad flywheel decouples from Premium FCF</w:t>
            </w:r>
          </w:p>
        </w:tc>
      </w:tr>
    </w:tbl>
    <w:p>
      <w:pPr>
        <w:spacing w:after="80"/>
      </w:pPr>
      <w:r>
        <w:rPr>
          <w:rFonts w:ascii="Calibri" w:hAnsi="Calibri"/>
          <w:b w:val="0"/>
          <w:i w:val="0"/>
          <w:sz w:val="20"/>
        </w:rPr>
        <w:t>No watchlist entries today. Both triggers blocked by 15.0% cash floor; ARM price trigger not met. Defensive into CPI Tuesday.</w:t>
      </w:r>
    </w:p>
    <w:p>
      <w:pPr>
        <w:spacing w:before="160" w:after="80"/>
      </w:pPr>
      <w:r>
        <w:rPr>
          <w:rFonts w:ascii="Calibri" w:hAnsi="Calibri"/>
          <w:b/>
          <w:color w:val="365F91"/>
          <w:sz w:val="28"/>
        </w:rPr>
        <w:t>4. Cash Recommendation</w:t>
      </w:r>
    </w:p>
    <w:tbl>
      <w:tblPr>
        <w:tblW w:type="auto" w:w="0"/>
        <w:jc w:val="left"/>
        <w:tblLook w:firstColumn="1" w:firstRow="1" w:lastColumn="0" w:lastRow="0" w:noHBand="0" w:noVBand="1" w:val="04A0"/>
      </w:tblPr>
      <w:tblGrid>
        <w:gridCol w:w="3312"/>
        <w:gridCol w:w="3312"/>
        <w:gridCol w:w="3312"/>
      </w:tblGrid>
      <w:tr>
        <w:tc>
          <w:tcPr>
            <w:tcW w:type="dxa" w:w="432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Item</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Value</w:t>
            </w:r>
          </w:p>
        </w:tc>
        <w:tc>
          <w:tcPr>
            <w:tcW w:type="dxa" w:w="374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Status</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Current cash weight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15.0%</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At self-imposed floor (band 10–20%)</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Deploy trigger (NFP &lt;30k AND mkt -1.5%)</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NFP +115k (May 8) — invalidated</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VOID</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Trim trigger (WTI sustained close &lt;$90)</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WTI mid-$90s; gap closing</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 (watch)</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Drawdown trigger (WTD ≤ −3%)</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Records on tape; pre-open -0.2%</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bl>
    <w:p>
      <w:pPr>
        <w:spacing w:after="80"/>
      </w:pPr>
      <w:r>
        <w:rPr>
          <w:rFonts w:ascii="Calibri" w:hAnsi="Calibri"/>
          <w:b w:val="0"/>
          <w:i w:val="0"/>
          <w:sz w:val="20"/>
        </w:rPr>
        <w:t>Rationale. CPI Tuesday and Warsh vote Wednesday create binary macro risk. Hold cash at 15.0% floor; no deployments or trims today. Reactive only on print outliers or thesis-stop hits.</w:t>
      </w:r>
    </w:p>
    <w:p>
      <w:pPr>
        <w:spacing w:before="160" w:after="80"/>
      </w:pPr>
      <w:r>
        <w:rPr>
          <w:rFonts w:ascii="Calibri" w:hAnsi="Calibri"/>
          <w:b/>
          <w:color w:val="365F91"/>
          <w:sz w:val="28"/>
        </w:rPr>
        <w:t>5. Pending Catalysts — Status Update</w:t>
      </w:r>
    </w:p>
    <w:tbl>
      <w:tblPr>
        <w:tblW w:type="auto" w:w="0"/>
        <w:jc w:val="left"/>
        <w:tblLook w:firstColumn="1" w:firstRow="1" w:lastColumn="0" w:lastRow="0" w:noHBand="0" w:noVBand="1" w:val="04A0"/>
      </w:tblPr>
      <w:tblGrid>
        <w:gridCol w:w="2484"/>
        <w:gridCol w:w="2484"/>
        <w:gridCol w:w="2484"/>
        <w:gridCol w:w="2484"/>
      </w:tblGrid>
      <w:tr>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When</w:t>
            </w:r>
          </w:p>
        </w:tc>
        <w:tc>
          <w:tcPr>
            <w:tcW w:type="dxa" w:w="388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Event</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Held Read-Through</w:t>
            </w:r>
          </w:p>
        </w:tc>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Pre-Plan</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Tue May 12 (8:30 ET)</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April CPI release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Tape-wide; growth-book duration sensitivity</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Defensive into print; no pre-position</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13 (8:30 ET)</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April PPI release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Pipeline pressure read for held energy/staples</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Reactive only</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13</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Senate Warsh confirmation vote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Rate-path optionality across growth book</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Reactive only</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20 AMC</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NVDA Q1 fiscal 2027 (cons rev $78.98B / EPS $1.78)</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NVDA 6.5%, AVGO 4.0%, MU 2.5%, TSM 3.0%</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At cap; no add; thesis-stop check on miss</w:t>
            </w:r>
          </w:p>
        </w:tc>
      </w:tr>
    </w:tbl>
    <w:p>
      <w:pPr>
        <w:spacing w:before="160" w:after="80"/>
      </w:pPr>
      <w:r>
        <w:rPr>
          <w:rFonts w:ascii="Calibri" w:hAnsi="Calibri"/>
          <w:b/>
          <w:color w:val="365F91"/>
          <w:sz w:val="28"/>
        </w:rPr>
        <w:t>6. Recommended Weight Changes (Today)</w:t>
      </w:r>
    </w:p>
    <w:p>
      <w:r>
        <w:rPr>
          <w:rFonts w:ascii="Calibri" w:hAnsi="Calibri"/>
          <w:b/>
          <w:sz w:val="20"/>
        </w:rPr>
        <w:t xml:space="preserve">No weight changes recommended today. </w:t>
      </w:r>
      <w:r>
        <w:rPr>
          <w:rFonts w:ascii="Calibri" w:hAnsi="Calibri"/>
          <w:sz w:val="20"/>
        </w:rPr>
        <w:t>All IPS hard limits within band (single ≤7.0%, sector ≤35.0%, cash 10–20%). Cash at 15.0% floor blocks opportunistic adds; defensive posture preserved for CPI / PPI / Warsh sequence Tue-Wed.</w:t>
      </w:r>
    </w:p>
    <w:p>
      <w:pPr>
        <w:spacing w:before="160" w:after="80"/>
      </w:pPr>
      <w:r>
        <w:rPr>
          <w:rFonts w:ascii="Calibri" w:hAnsi="Calibri"/>
          <w:b/>
          <w:color w:val="365F91"/>
          <w:sz w:val="28"/>
        </w:rPr>
        <w:t>7. Full Portfolio Table — 27 Positions + Cash</w:t>
      </w:r>
    </w:p>
    <w:tbl>
      <w:tblPr>
        <w:tblW w:type="auto" w:w="0"/>
        <w:jc w:val="left"/>
        <w:tblLook w:firstColumn="1" w:firstRow="1" w:lastColumn="0" w:lastRow="0" w:noHBand="0" w:noVBand="1" w:val="04A0"/>
      </w:tblPr>
      <w:tblGrid>
        <w:gridCol w:w="3312"/>
        <w:gridCol w:w="3312"/>
        <w:gridCol w:w="3312"/>
      </w:tblGrid>
      <w:tr>
        <w:tc>
          <w:tcPr>
            <w:tcW w:type="dxa" w:w="172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Sector</w:t>
            </w:r>
          </w:p>
        </w:tc>
        <w:tc>
          <w:tcPr>
            <w:tcW w:type="dxa" w:w="14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Weight</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6.5%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AMZN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5.5%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META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LLY</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JPM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AVGO</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MSFT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PANW</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QQQ</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ORCL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GOOGL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PLTR</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XOM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TSM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EOG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COST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Staples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VUG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SCHD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DASH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Disc.</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NEE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Utilities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ABBV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NFLX</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CRWD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INTC</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15.0%</w:t>
            </w:r>
          </w:p>
        </w:tc>
      </w:tr>
    </w:tbl>
    <w:p>
      <w:r>
        <w:rPr>
          <w:rFonts w:ascii="Calibri" w:hAnsi="Calibri"/>
          <w:b/>
          <w:color w:val="0B6E3D"/>
          <w:sz w:val="20"/>
        </w:rPr>
        <w:t>Portfolio sum verified: 100.0% = 100.0% ✓</w:t>
      </w:r>
    </w:p>
    <w:p>
      <w:pPr>
        <w:spacing w:before="160" w:after="80"/>
      </w:pPr>
      <w:r>
        <w:rPr>
          <w:rFonts w:ascii="Calibri" w:hAnsi="Calibri"/>
          <w:b/>
          <w:color w:val="365F91"/>
          <w:sz w:val="28"/>
        </w:rPr>
        <w:t>8. Sources &amp; Methodology</w:t>
      </w:r>
    </w:p>
    <w:p>
      <w:pPr>
        <w:pStyle w:val="ListBullet"/>
        <w:spacing w:after="40"/>
      </w:pPr>
      <w:r>
        <w:rPr>
          <w:rFonts w:ascii="Calibri" w:hAnsi="Calibri"/>
          <w:b/>
          <w:sz w:val="18"/>
        </w:rPr>
        <w:t xml:space="preserve">Pre-market futures: </w:t>
      </w:r>
      <w:r>
        <w:rPr>
          <w:rFonts w:ascii="Calibri" w:hAnsi="Calibri"/>
          <w:sz w:val="18"/>
        </w:rPr>
        <w:t>Sunday-evening Yahoo Finance / TheStreet / CNBC — May 10-11, 2026.</w:t>
      </w:r>
    </w:p>
    <w:p>
      <w:pPr>
        <w:pStyle w:val="ListBullet"/>
        <w:spacing w:after="40"/>
      </w:pPr>
      <w:r>
        <w:rPr>
          <w:rFonts w:ascii="Calibri" w:hAnsi="Calibri"/>
          <w:b/>
          <w:sz w:val="18"/>
        </w:rPr>
        <w:t xml:space="preserve">Oil &amp; Iran: </w:t>
      </w:r>
      <w:r>
        <w:rPr>
          <w:rFonts w:ascii="Calibri" w:hAnsi="Calibri"/>
          <w:sz w:val="18"/>
        </w:rPr>
        <w:t>CNBC May 11; Trump rejects Iran counteroffer; ceasefire "unbelievably weak".</w:t>
      </w:r>
    </w:p>
    <w:p>
      <w:pPr>
        <w:pStyle w:val="ListBullet"/>
        <w:spacing w:after="40"/>
      </w:pPr>
      <w:r>
        <w:rPr>
          <w:rFonts w:ascii="Calibri" w:hAnsi="Calibri"/>
          <w:b/>
          <w:sz w:val="18"/>
        </w:rPr>
        <w:t xml:space="preserve">Week-ahead macro: </w:t>
      </w:r>
      <w:r>
        <w:rPr>
          <w:rFonts w:ascii="Calibri" w:hAnsi="Calibri"/>
          <w:sz w:val="18"/>
        </w:rPr>
        <w:t>TradingKey CPI preview; Heygotrade weekly outlook May 11-15.</w:t>
      </w:r>
    </w:p>
    <w:p>
      <w:pPr>
        <w:pStyle w:val="ListBullet"/>
        <w:spacing w:after="40"/>
      </w:pPr>
      <w:r>
        <w:rPr>
          <w:rFonts w:ascii="Calibri" w:hAnsi="Calibri"/>
          <w:b/>
          <w:sz w:val="18"/>
        </w:rPr>
        <w:t xml:space="preserve">Tracker (ground truth): </w:t>
      </w:r>
      <w:r>
        <w:rPr>
          <w:rFonts w:ascii="Calibri" w:hAnsi="Calibri"/>
          <w:sz w:val="18"/>
        </w:rPr>
        <w:t>WM_Growth_Portfolio_Apr2026.xlsx — Portfolio Overview sheet (CONFIRMED).</w:t>
      </w:r>
    </w:p>
    <w:p>
      <w:pPr>
        <w:pStyle w:val="ListBullet"/>
        <w:spacing w:after="40"/>
      </w:pPr>
      <w:r>
        <w:rPr>
          <w:rFonts w:ascii="Calibri" w:hAnsi="Calibri"/>
          <w:b/>
          <w:sz w:val="18"/>
        </w:rPr>
        <w:t xml:space="preserve">Provenance: </w:t>
      </w:r>
      <w:r>
        <w:rPr>
          <w:rFonts w:ascii="Calibri" w:hAnsi="Calibri"/>
          <w:sz w:val="18"/>
        </w:rPr>
        <w:t>Index / macro figures SOURCED. Weights CONFIRMED from tracker. Position-level color where present is CALIBRATED retrospective reconstruction.</w:t>
      </w:r>
    </w:p>
    <w:p>
      <w:pPr>
        <w:pStyle w:val="ListBullet"/>
        <w:spacing w:after="40"/>
      </w:pPr>
      <w:r>
        <w:rPr>
          <w:rFonts w:ascii="Calibri" w:hAnsi="Calibri"/>
          <w:b/>
          <w:sz w:val="18"/>
        </w:rPr>
        <w:t xml:space="preserve">CALIBRATED note: </w:t>
      </w:r>
      <w:r>
        <w:rPr>
          <w:rFonts w:ascii="Calibri" w:hAnsi="Calibri"/>
          <w:sz w:val="18"/>
        </w:rPr>
        <w:t>Position-level price moves cited in Scan 1 are CALIBRATED retrospective reconstructions from published index / sector data; macro and index figures remain SOURCED. Tracker weights remain CONFIRMED.</w:t>
      </w:r>
    </w:p>
    <w:p>
      <w:pPr>
        <w:spacing w:before="120"/>
      </w:pPr>
      <w:r>
        <w:rPr>
          <w:rFonts w:ascii="Calibri" w:hAnsi="Calibri"/>
          <w:i/>
          <w:color w:val="777777"/>
          <w:sz w:val="16"/>
        </w:rPr>
        <w:t>Disclaimer: This report is prepared for the WM Growth Portfolio under IPS v1.0 (effective Apr 21, 2026). Estimates and analyst targets are not investment advice. Past performance is not indicative of future results. All recommendations are constrained by the IPS (max single 7.0%, max sector 35.0%, cash 10–20%, no leverage / options / shorts).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