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6"/>
        </w:rPr>
        <w:t>DAILY PRE-MARKET PORTFOLIO REPORT</w:t>
      </w:r>
    </w:p>
    <w:p>
      <w:pPr>
        <w:jc w:val="center"/>
      </w:pPr>
      <w:r>
        <w:rPr>
          <w:rFonts w:ascii="Calibri" w:hAnsi="Calibri"/>
          <w:i/>
          <w:sz w:val="22"/>
        </w:rPr>
        <w:t>Long-Term Growth Portfolio  |  Active Wealth Management</w:t>
      </w:r>
    </w:p>
    <w:p>
      <w:pPr>
        <w:jc w:val="center"/>
      </w:pPr>
      <w:r>
        <w:rPr>
          <w:rFonts w:ascii="Calibri" w:hAnsi="Calibri"/>
          <w:color w:val="555555"/>
          <w:sz w:val="20"/>
        </w:rPr>
        <w:t>Report Date: Tuesday, May 12, 2026  |  Benchmark: S&amp;P 500  |  Horizon: Long-Term Growth</w:t>
      </w:r>
    </w:p>
    <w:p>
      <w:pPr>
        <w:spacing w:before="160" w:after="80"/>
      </w:pPr>
      <w:r>
        <w:rPr>
          <w:rFonts w:ascii="Calibri" w:hAnsi="Calibri"/>
          <w:b/>
          <w:color w:val="365F91"/>
          <w:sz w:val="28"/>
        </w:rPr>
        <w:t>1. Market Snapshot — Pre-Market / Macro</w:t>
      </w:r>
    </w:p>
    <w:tbl>
      <w:tblPr>
        <w:tblW w:type="auto" w:w="0"/>
        <w:jc w:val="left"/>
        <w:tblLook w:firstColumn="1" w:firstRow="1" w:lastColumn="0" w:lastRow="0" w:noHBand="0" w:noVBand="1" w:val="04A0"/>
      </w:tblPr>
      <w:tblGrid>
        <w:gridCol w:w="2484"/>
        <w:gridCol w:w="2484"/>
        <w:gridCol w:w="2484"/>
        <w:gridCol w:w="2484"/>
      </w:tblGrid>
      <w:tr>
        <w:tc>
          <w:tcPr>
            <w:tcW w:type="dxa" w:w="216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Instrument</w:t>
            </w:r>
          </w:p>
        </w:tc>
        <w:tc>
          <w:tcPr>
            <w:tcW w:type="dxa" w:w="201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Level</w:t>
            </w:r>
          </w:p>
        </w:tc>
        <w:tc>
          <w:tcPr>
            <w:tcW w:type="dxa" w:w="345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Change</w:t>
            </w:r>
          </w:p>
        </w:tc>
        <w:tc>
          <w:tcPr>
            <w:tcW w:type="dxa" w:w="129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Tag</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S&amp;P 500 e-minis (pre-CPI)</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 -0.4% to -0.6%</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Risk-off into 8:30 print</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Nasdaq 100 e-minis</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 -0.6%</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 under pressure pre-print</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Dow futures</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 -0.3%</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Defensive bid relative to tech</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WTI crude (front)</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≈$98/bbl Mon settle</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Iran-deal failure premium intact</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Brent crude</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≈$104/bbl Mon settle</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Hormuz supply tightness</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Mon 5/11 cash close</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S&amp;P 7,412.84 (record); Nasdaq 26,274.13 (record); Dow 49,704</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Records into hot-CPI risk</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8:30 ET event</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April CPI release</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Binary risk; rate-path repricing</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bl>
    <w:p>
      <w:pPr>
        <w:spacing w:after="80"/>
      </w:pPr>
      <w:r>
        <w:rPr>
          <w:rFonts w:ascii="Calibri" w:hAnsi="Calibri"/>
          <w:b w:val="0"/>
          <w:i w:val="0"/>
          <w:sz w:val="20"/>
        </w:rPr>
        <w:t>Macro lens. Today is the binary CPI event. Consensus is approximately +0.4% m/m / +3.6% y/y headline; the print risk is asymmetric to the upside given recent energy and gasoline action. Monday's tape printed fresh S&amp;P 500 and Nasdaq record closes (NVDA +~2%, MU +6.5%) into the print, which raises pullback magnitude on a hot read. Reactive posture preserved; no pre-positioning into the release.</w:t>
      </w:r>
    </w:p>
    <w:p>
      <w:pPr>
        <w:spacing w:before="160" w:after="80"/>
      </w:pPr>
      <w:r>
        <w:rPr>
          <w:rFonts w:ascii="Calibri" w:hAnsi="Calibri"/>
          <w:b/>
          <w:color w:val="365F91"/>
          <w:sz w:val="28"/>
        </w:rPr>
        <w:t>2. Scan 1 — Holdings Review (Affected Names)</w:t>
      </w:r>
    </w:p>
    <w:tbl>
      <w:tblPr>
        <w:tblW w:type="auto" w:w="0"/>
        <w:jc w:val="left"/>
        <w:tblLook w:firstColumn="1" w:firstRow="1" w:lastColumn="0" w:lastRow="0" w:noHBand="0" w:noVBand="1" w:val="04A0"/>
      </w:tblPr>
      <w:tblGrid>
        <w:gridCol w:w="2484"/>
        <w:gridCol w:w="2484"/>
        <w:gridCol w:w="2484"/>
        <w:gridCol w:w="2484"/>
      </w:tblGrid>
      <w:tr>
        <w:tc>
          <w:tcPr>
            <w:tcW w:type="dxa" w:w="1872"/>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Ticker</w:t>
            </w:r>
          </w:p>
        </w:tc>
        <w:tc>
          <w:tcPr>
            <w:tcW w:type="dxa" w:w="864"/>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Wt</w:t>
            </w:r>
          </w:p>
        </w:tc>
        <w:tc>
          <w:tcPr>
            <w:tcW w:type="dxa" w:w="504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Catalyst / Read-Through</w:t>
            </w:r>
          </w:p>
        </w:tc>
        <w:tc>
          <w:tcPr>
            <w:tcW w:type="dxa" w:w="244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Action</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NVDA</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6.5%</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Monday +~2% to fresh highs; Q1 fiscal 2027 May 20 AMC the major focal point. Beijing summit narrative building (Trump-Xi midweek).</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6.5% — at cap</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MU</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2.5%</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Monday +6.5% on memory rally / HBM3E demand. No add room (cash at floor).</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2.5%</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XOM / EOG</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3.0 / 2.5%</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WTI +2.78% to $98.07 Monday on Iran-deal failure; Brent +2.88% to $104.20. &lt;$90 trim trigger far away.</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at rebuilt weights</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UNH</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3.0%</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Carry-value FLAG persists ($510 tracker vs market low-$370s). DOJ Medicare-billing overhang.</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3.0% — FLAG persists</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LLY / ABBV</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4.5 / 1.5%</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Healthcare quiet; LLY Q1 reaction stable +9% holding.</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AVGO / MSFT / ORCL / PANW</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4.0 / 4.0 / 3.0 / 4.0%</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AI-infra complex holding; CSCO Q3 AMC tomorrow the next read-through.</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all</w:t>
            </w:r>
          </w:p>
        </w:tc>
      </w:tr>
    </w:tbl>
    <w:p>
      <w:pPr>
        <w:spacing w:before="160" w:after="80"/>
      </w:pPr>
      <w:r>
        <w:rPr>
          <w:rFonts w:ascii="Calibri" w:hAnsi="Calibri"/>
          <w:b/>
          <w:color w:val="365F91"/>
          <w:sz w:val="28"/>
        </w:rPr>
        <w:t>3. Scan 2 — New Opportunities &amp; Watchlist</w:t>
      </w:r>
    </w:p>
    <w:tbl>
      <w:tblPr>
        <w:tblW w:type="auto" w:w="0"/>
        <w:jc w:val="left"/>
        <w:tblLook w:firstColumn="1" w:firstRow="1" w:lastColumn="0" w:lastRow="0" w:noHBand="0" w:noVBand="1" w:val="04A0"/>
      </w:tblPr>
      <w:tblGrid>
        <w:gridCol w:w="1656"/>
        <w:gridCol w:w="1656"/>
        <w:gridCol w:w="1656"/>
        <w:gridCol w:w="1656"/>
        <w:gridCol w:w="1656"/>
        <w:gridCol w:w="1656"/>
      </w:tblGrid>
      <w:tr>
        <w:tc>
          <w:tcPr>
            <w:tcW w:type="dxa" w:w="100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Ticker</w:t>
            </w:r>
          </w:p>
        </w:tc>
        <w:tc>
          <w:tcPr>
            <w:tcW w:type="dxa" w:w="864"/>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Conf</w:t>
            </w:r>
          </w:p>
        </w:tc>
        <w:tc>
          <w:tcPr>
            <w:tcW w:type="dxa" w:w="1584"/>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Size</w:t>
            </w:r>
          </w:p>
        </w:tc>
        <w:tc>
          <w:tcPr>
            <w:tcW w:type="dxa" w:w="288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Entry Trigger</w:t>
            </w:r>
          </w:p>
        </w:tc>
        <w:tc>
          <w:tcPr>
            <w:tcW w:type="dxa" w:w="288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Price Stop / Thesis Stop</w:t>
            </w:r>
          </w:p>
        </w:tc>
        <w:tc>
          <w:tcPr>
            <w:tcW w:type="dxa" w:w="244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Pre-mortem</w:t>
            </w:r>
          </w:p>
        </w:tc>
      </w:tr>
      <w:tr>
        <w:tc>
          <w:tcPr>
            <w:tcW w:type="dxa" w:w="1008"/>
            <w:tcBorders>
              <w:top w:val="single" w:sz="4" w:color="BFBFBF"/>
              <w:left w:val="single" w:sz="4" w:color="BFBFBF"/>
              <w:bottom w:val="single" w:sz="4" w:color="BFBFBF"/>
              <w:right w:val="single" w:sz="4" w:color="BFBFBF"/>
            </w:tcBorders>
            <w:vAlign w:val="top"/>
          </w:tcPr>
          <w:p>
            <w:r>
              <w:rPr>
                <w:rFonts w:ascii="Calibri" w:hAnsi="Calibri"/>
                <w:sz w:val="18"/>
              </w:rPr>
              <w:t>ARM</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LOW</w:t>
            </w:r>
          </w:p>
        </w:tc>
        <w:tc>
          <w:tcPr>
            <w:tcW w:type="dxa" w:w="1584"/>
            <w:tcBorders>
              <w:top w:val="single" w:sz="4" w:color="BFBFBF"/>
              <w:left w:val="single" w:sz="4" w:color="BFBFBF"/>
              <w:bottom w:val="single" w:sz="4" w:color="BFBFBF"/>
              <w:right w:val="single" w:sz="4" w:color="BFBFBF"/>
            </w:tcBorders>
            <w:vAlign w:val="top"/>
          </w:tcPr>
          <w:p>
            <w:r>
              <w:rPr>
                <w:rFonts w:ascii="Calibri" w:hAnsi="Calibri"/>
                <w:sz w:val="18"/>
              </w:rPr>
              <w:t>1.0% from cash</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Sustained close &lt;$130 — not met</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Px stop $118 / Thesis: AI-edge royalty &lt;30% y/y for 2 qtrs</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Wrong if supply gap proves transient AND multiple does not compress</w:t>
            </w:r>
          </w:p>
        </w:tc>
      </w:tr>
      <w:tr>
        <w:tc>
          <w:tcPr>
            <w:tcW w:type="dxa" w:w="1008"/>
            <w:tcBorders>
              <w:top w:val="single" w:sz="4" w:color="BFBFBF"/>
              <w:left w:val="single" w:sz="4" w:color="BFBFBF"/>
              <w:bottom w:val="single" w:sz="4" w:color="BFBFBF"/>
              <w:right w:val="single" w:sz="4" w:color="BFBFBF"/>
            </w:tcBorders>
            <w:vAlign w:val="top"/>
          </w:tcPr>
          <w:p>
            <w:r>
              <w:rPr>
                <w:rFonts w:ascii="Calibri" w:hAnsi="Calibri"/>
                <w:sz w:val="18"/>
              </w:rPr>
              <w:t>SPOT</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MED</w:t>
            </w:r>
          </w:p>
        </w:tc>
        <w:tc>
          <w:tcPr>
            <w:tcW w:type="dxa" w:w="1584"/>
            <w:tcBorders>
              <w:top w:val="single" w:sz="4" w:color="BFBFBF"/>
              <w:left w:val="single" w:sz="4" w:color="BFBFBF"/>
              <w:bottom w:val="single" w:sz="4" w:color="BFBFBF"/>
              <w:right w:val="single" w:sz="4" w:color="BFBFBF"/>
            </w:tcBorders>
            <w:vAlign w:val="top"/>
          </w:tcPr>
          <w:p>
            <w:r>
              <w:rPr>
                <w:rFonts w:ascii="Calibri" w:hAnsi="Calibri"/>
                <w:sz w:val="18"/>
              </w:rPr>
              <w:t>1.5% from cash</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&lt;$650 sustained close (price long met; cash floor blocks)</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Px stop $610 (-6%) / Thesis: ad-rev &lt;8% y/y for 2 qtrs</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Wrong if podcast/ad flywheel decouples from Premium FCF</w:t>
            </w:r>
          </w:p>
        </w:tc>
      </w:tr>
    </w:tbl>
    <w:p>
      <w:pPr>
        <w:spacing w:after="80"/>
      </w:pPr>
      <w:r>
        <w:rPr>
          <w:rFonts w:ascii="Calibri" w:hAnsi="Calibri"/>
          <w:b w:val="0"/>
          <w:i w:val="0"/>
          <w:sz w:val="20"/>
        </w:rPr>
        <w:t>No watchlist entries today. Pre-CPI is not the right moment to deploy cash regardless of trigger; defer all adds to post-print clarity.</w:t>
      </w:r>
    </w:p>
    <w:p>
      <w:pPr>
        <w:spacing w:before="160" w:after="80"/>
      </w:pPr>
      <w:r>
        <w:rPr>
          <w:rFonts w:ascii="Calibri" w:hAnsi="Calibri"/>
          <w:b/>
          <w:color w:val="365F91"/>
          <w:sz w:val="28"/>
        </w:rPr>
        <w:t>4. Cash Recommendation</w:t>
      </w:r>
    </w:p>
    <w:tbl>
      <w:tblPr>
        <w:tblW w:type="auto" w:w="0"/>
        <w:jc w:val="left"/>
        <w:tblLook w:firstColumn="1" w:firstRow="1" w:lastColumn="0" w:lastRow="0" w:noHBand="0" w:noVBand="1" w:val="04A0"/>
      </w:tblPr>
      <w:tblGrid>
        <w:gridCol w:w="3312"/>
        <w:gridCol w:w="3312"/>
        <w:gridCol w:w="3312"/>
      </w:tblGrid>
      <w:tr>
        <w:tc>
          <w:tcPr>
            <w:tcW w:type="dxa" w:w="432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Item</w:t>
            </w:r>
          </w:p>
        </w:tc>
        <w:tc>
          <w:tcPr>
            <w:tcW w:type="dxa" w:w="345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Value</w:t>
            </w:r>
          </w:p>
        </w:tc>
        <w:tc>
          <w:tcPr>
            <w:tcW w:type="dxa" w:w="3744"/>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Status</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Current cash weight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15.0%</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At self-imposed floor (band 10–20%)</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Pre-CPI plan</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Hot print → hold; in-line → hold; cool print → still hold (floor)</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RESERVE optionality</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Trim trigger (WTI sustained close &lt;$90)</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WTI $98; gap widening</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NOT MET</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Drawdown trigger (WTD ≤ −3%)</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WTD modest gain through Mon</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NOT MET</w:t>
            </w:r>
          </w:p>
        </w:tc>
      </w:tr>
    </w:tbl>
    <w:p>
      <w:pPr>
        <w:spacing w:after="80"/>
      </w:pPr>
      <w:r>
        <w:rPr>
          <w:rFonts w:ascii="Calibri" w:hAnsi="Calibri"/>
          <w:b w:val="0"/>
          <w:i w:val="0"/>
          <w:sz w:val="20"/>
        </w:rPr>
        <w:t>Rationale. CPI is binary; cash floor prevents pre-positioning either direction. Reactive on cash-band approach to upper bound only on extreme outliers (&gt;+0.7% m/m headline + sharp tech selloff).</w:t>
      </w:r>
    </w:p>
    <w:p>
      <w:pPr>
        <w:spacing w:before="160" w:after="80"/>
      </w:pPr>
      <w:r>
        <w:rPr>
          <w:rFonts w:ascii="Calibri" w:hAnsi="Calibri"/>
          <w:b/>
          <w:color w:val="365F91"/>
          <w:sz w:val="28"/>
        </w:rPr>
        <w:t>5. Pending Catalysts — Status Update</w:t>
      </w:r>
    </w:p>
    <w:tbl>
      <w:tblPr>
        <w:tblW w:type="auto" w:w="0"/>
        <w:jc w:val="left"/>
        <w:tblLook w:firstColumn="1" w:firstRow="1" w:lastColumn="0" w:lastRow="0" w:noHBand="0" w:noVBand="1" w:val="04A0"/>
      </w:tblPr>
      <w:tblGrid>
        <w:gridCol w:w="2484"/>
        <w:gridCol w:w="2484"/>
        <w:gridCol w:w="2484"/>
        <w:gridCol w:w="2484"/>
      </w:tblGrid>
      <w:tr>
        <w:tc>
          <w:tcPr>
            <w:tcW w:type="dxa" w:w="201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When</w:t>
            </w:r>
          </w:p>
        </w:tc>
        <w:tc>
          <w:tcPr>
            <w:tcW w:type="dxa" w:w="388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Event</w:t>
            </w:r>
          </w:p>
        </w:tc>
        <w:tc>
          <w:tcPr>
            <w:tcW w:type="dxa" w:w="345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Held Read-Through</w:t>
            </w:r>
          </w:p>
        </w:tc>
        <w:tc>
          <w:tcPr>
            <w:tcW w:type="dxa" w:w="216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Pre-Plan</w:t>
            </w:r>
          </w:p>
        </w:tc>
      </w:tr>
      <w:tr>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Today 8:30 ET</w:t>
            </w:r>
          </w:p>
        </w:tc>
        <w:tc>
          <w:tcPr>
            <w:tcW w:type="dxa" w:w="3888"/>
            <w:tcBorders>
              <w:top w:val="single" w:sz="4" w:color="BFBFBF"/>
              <w:left w:val="single" w:sz="4" w:color="BFBFBF"/>
              <w:bottom w:val="single" w:sz="4" w:color="BFBFBF"/>
              <w:right w:val="single" w:sz="4" w:color="BFBFBF"/>
            </w:tcBorders>
            <w:vAlign w:val="top"/>
          </w:tcPr>
          <w:p>
            <w:r>
              <w:rPr>
                <w:rFonts w:ascii="Calibri" w:hAnsi="Calibri"/>
                <w:sz w:val="18"/>
              </w:rPr>
              <w:t>April CPI</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Tape-wide; AI/growth duration sensitivity</w:t>
            </w:r>
          </w:p>
        </w:tc>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Reactive on outlier print only</w:t>
            </w:r>
          </w:p>
        </w:tc>
      </w:tr>
      <w:tr>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Wed May 13 (8:30 ET)</w:t>
            </w:r>
          </w:p>
        </w:tc>
        <w:tc>
          <w:tcPr>
            <w:tcW w:type="dxa" w:w="3888"/>
            <w:tcBorders>
              <w:top w:val="single" w:sz="4" w:color="BFBFBF"/>
              <w:left w:val="single" w:sz="4" w:color="BFBFBF"/>
              <w:bottom w:val="single" w:sz="4" w:color="BFBFBF"/>
              <w:right w:val="single" w:sz="4" w:color="BFBFBF"/>
            </w:tcBorders>
            <w:vAlign w:val="top"/>
          </w:tcPr>
          <w:p>
            <w:r>
              <w:rPr>
                <w:rFonts w:ascii="Calibri" w:hAnsi="Calibri"/>
                <w:sz w:val="18"/>
              </w:rPr>
              <w:t>April PPI</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Energy pipeline pressure</w:t>
            </w:r>
          </w:p>
        </w:tc>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Reactive</w:t>
            </w:r>
          </w:p>
        </w:tc>
      </w:tr>
      <w:tr>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Wed May 13</w:t>
            </w:r>
          </w:p>
        </w:tc>
        <w:tc>
          <w:tcPr>
            <w:tcW w:type="dxa" w:w="3888"/>
            <w:tcBorders>
              <w:top w:val="single" w:sz="4" w:color="BFBFBF"/>
              <w:left w:val="single" w:sz="4" w:color="BFBFBF"/>
              <w:bottom w:val="single" w:sz="4" w:color="BFBFBF"/>
              <w:right w:val="single" w:sz="4" w:color="BFBFBF"/>
            </w:tcBorders>
            <w:vAlign w:val="top"/>
          </w:tcPr>
          <w:p>
            <w:r>
              <w:rPr>
                <w:rFonts w:ascii="Calibri" w:hAnsi="Calibri"/>
                <w:sz w:val="18"/>
              </w:rPr>
              <w:t>Senate Warsh confirmation vote</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Rate-path under new chair</w:t>
            </w:r>
          </w:p>
        </w:tc>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Reactive</w:t>
            </w:r>
          </w:p>
        </w:tc>
      </w:tr>
      <w:tr>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Wed May 13 AMC</w:t>
            </w:r>
          </w:p>
        </w:tc>
        <w:tc>
          <w:tcPr>
            <w:tcW w:type="dxa" w:w="3888"/>
            <w:tcBorders>
              <w:top w:val="single" w:sz="4" w:color="BFBFBF"/>
              <w:left w:val="single" w:sz="4" w:color="BFBFBF"/>
              <w:bottom w:val="single" w:sz="4" w:color="BFBFBF"/>
              <w:right w:val="single" w:sz="4" w:color="BFBFBF"/>
            </w:tcBorders>
            <w:vAlign w:val="top"/>
          </w:tcPr>
          <w:p>
            <w:r>
              <w:rPr>
                <w:rFonts w:ascii="Calibri" w:hAnsi="Calibri"/>
                <w:sz w:val="18"/>
              </w:rPr>
              <w:t>CSCO Q3 (AI-infra read-through)</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AVGO 4.0, MSFT 4.0, ORCL 3.0, PANW 4.0</w:t>
            </w:r>
          </w:p>
        </w:tc>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Hold; read for AI guide direction</w:t>
            </w:r>
          </w:p>
        </w:tc>
      </w:tr>
      <w:tr>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Wed May 20 AMC</w:t>
            </w:r>
          </w:p>
        </w:tc>
        <w:tc>
          <w:tcPr>
            <w:tcW w:type="dxa" w:w="3888"/>
            <w:tcBorders>
              <w:top w:val="single" w:sz="4" w:color="BFBFBF"/>
              <w:left w:val="single" w:sz="4" w:color="BFBFBF"/>
              <w:bottom w:val="single" w:sz="4" w:color="BFBFBF"/>
              <w:right w:val="single" w:sz="4" w:color="BFBFBF"/>
            </w:tcBorders>
            <w:vAlign w:val="top"/>
          </w:tcPr>
          <w:p>
            <w:r>
              <w:rPr>
                <w:rFonts w:ascii="Calibri" w:hAnsi="Calibri"/>
                <w:sz w:val="18"/>
              </w:rPr>
              <w:t>NVDA Q1 fiscal 2027</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NVDA 6.5, AVGO 4.0, MU 2.5, TSM 3.0</w:t>
            </w:r>
          </w:p>
        </w:tc>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At cap; thesis-stop check on miss</w:t>
            </w:r>
          </w:p>
        </w:tc>
      </w:tr>
    </w:tbl>
    <w:p>
      <w:pPr>
        <w:spacing w:before="160" w:after="80"/>
      </w:pPr>
      <w:r>
        <w:rPr>
          <w:rFonts w:ascii="Calibri" w:hAnsi="Calibri"/>
          <w:b/>
          <w:color w:val="365F91"/>
          <w:sz w:val="28"/>
        </w:rPr>
        <w:t>6. Recommended Weight Changes (Today)</w:t>
      </w:r>
    </w:p>
    <w:p>
      <w:r>
        <w:rPr>
          <w:rFonts w:ascii="Calibri" w:hAnsi="Calibri"/>
          <w:b/>
          <w:sz w:val="20"/>
        </w:rPr>
        <w:t xml:space="preserve">No weight changes recommended today. </w:t>
      </w:r>
      <w:r>
        <w:rPr>
          <w:rFonts w:ascii="Calibri" w:hAnsi="Calibri"/>
          <w:sz w:val="20"/>
        </w:rPr>
        <w:t>Cash at 15.0% floor. All IPS hard limits within band. Defensive posture preserved across the CPI / PPI / Warsh sequence; reactive only on outlier prints or thesis-stop hits.</w:t>
      </w:r>
    </w:p>
    <w:p>
      <w:pPr>
        <w:spacing w:before="160" w:after="80"/>
      </w:pPr>
      <w:r>
        <w:rPr>
          <w:rFonts w:ascii="Calibri" w:hAnsi="Calibri"/>
          <w:b/>
          <w:color w:val="365F91"/>
          <w:sz w:val="28"/>
        </w:rPr>
        <w:t>7. Full Portfolio Table — 27 Positions + Cash</w:t>
      </w:r>
    </w:p>
    <w:tbl>
      <w:tblPr>
        <w:tblW w:type="auto" w:w="0"/>
        <w:jc w:val="left"/>
        <w:tblLook w:firstColumn="1" w:firstRow="1" w:lastColumn="0" w:lastRow="0" w:noHBand="0" w:noVBand="1" w:val="04A0"/>
      </w:tblPr>
      <w:tblGrid>
        <w:gridCol w:w="3312"/>
        <w:gridCol w:w="3312"/>
        <w:gridCol w:w="3312"/>
      </w:tblGrid>
      <w:tr>
        <w:tc>
          <w:tcPr>
            <w:tcW w:type="dxa" w:w="172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Ticker</w:t>
            </w:r>
          </w:p>
        </w:tc>
        <w:tc>
          <w:tcPr>
            <w:tcW w:type="dxa" w:w="345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Sector</w:t>
            </w:r>
          </w:p>
        </w:tc>
        <w:tc>
          <w:tcPr>
            <w:tcW w:type="dxa" w:w="144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Weight</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NVDA</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6.5%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AMZN</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5.5%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META</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Comm. Services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LLY</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Healthcare</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JPM</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Financials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AVGO</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MSFT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PANW</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QQQ</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ETF</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ORCL</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GOOGL</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Comm. Services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PLTR</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UNH</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Healthcare</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XOM</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Energy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V</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Financials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TSM</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MU</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EOG</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Energy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COST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Cons. Staples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VUG</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ETF</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SCHD</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ETF</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DASH</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Cons. Disc.</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NEE</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Utilities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ABBV</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Healthcare</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NFLX</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Comm. Services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CRWD</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INTC</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CASH</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Cash</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15.0%</w:t>
            </w:r>
          </w:p>
        </w:tc>
      </w:tr>
    </w:tbl>
    <w:p>
      <w:r>
        <w:rPr>
          <w:rFonts w:ascii="Calibri" w:hAnsi="Calibri"/>
          <w:b/>
          <w:color w:val="0B6E3D"/>
          <w:sz w:val="20"/>
        </w:rPr>
        <w:t>Portfolio sum verified: 100.0% = 100.0% ✓</w:t>
      </w:r>
    </w:p>
    <w:p>
      <w:pPr>
        <w:spacing w:before="160" w:after="80"/>
      </w:pPr>
      <w:r>
        <w:rPr>
          <w:rFonts w:ascii="Calibri" w:hAnsi="Calibri"/>
          <w:b/>
          <w:color w:val="365F91"/>
          <w:sz w:val="28"/>
        </w:rPr>
        <w:t>8. Sources &amp; Methodology</w:t>
      </w:r>
    </w:p>
    <w:p>
      <w:pPr>
        <w:pStyle w:val="ListBullet"/>
        <w:spacing w:after="40"/>
      </w:pPr>
      <w:r>
        <w:rPr>
          <w:rFonts w:ascii="Calibri" w:hAnsi="Calibri"/>
          <w:b/>
          <w:sz w:val="18"/>
        </w:rPr>
        <w:t xml:space="preserve">Mon 5/11 close: </w:t>
      </w:r>
      <w:r>
        <w:rPr>
          <w:rFonts w:ascii="Calibri" w:hAnsi="Calibri"/>
          <w:sz w:val="18"/>
        </w:rPr>
        <w:t>TheStreet / Yahoo Finance — S&amp;P 7,412.84 (record); Nasdaq 26,274.13 (record); MU +6.5%; NVDA +~2%.</w:t>
      </w:r>
    </w:p>
    <w:p>
      <w:pPr>
        <w:pStyle w:val="ListBullet"/>
        <w:spacing w:after="40"/>
      </w:pPr>
      <w:r>
        <w:rPr>
          <w:rFonts w:ascii="Calibri" w:hAnsi="Calibri"/>
          <w:b/>
          <w:sz w:val="18"/>
        </w:rPr>
        <w:t xml:space="preserve">Oil: </w:t>
      </w:r>
      <w:r>
        <w:rPr>
          <w:rFonts w:ascii="Calibri" w:hAnsi="Calibri"/>
          <w:sz w:val="18"/>
        </w:rPr>
        <w:t>CNBC May 11-12 — WTI $98.07 Mon settle, +2.78%; Brent $104.20, +2.88%. Iran-deal failure.</w:t>
      </w:r>
    </w:p>
    <w:p>
      <w:pPr>
        <w:pStyle w:val="ListBullet"/>
        <w:spacing w:after="40"/>
      </w:pPr>
      <w:r>
        <w:rPr>
          <w:rFonts w:ascii="Calibri" w:hAnsi="Calibri"/>
          <w:b/>
          <w:sz w:val="18"/>
        </w:rPr>
        <w:t xml:space="preserve">CPI consensus: </w:t>
      </w:r>
      <w:r>
        <w:rPr>
          <w:rFonts w:ascii="Calibri" w:hAnsi="Calibri"/>
          <w:sz w:val="18"/>
        </w:rPr>
        <w:t>TradingKey CPI preview; Heygotrade weekly outlook; Polymarket prediction markets.</w:t>
      </w:r>
    </w:p>
    <w:p>
      <w:pPr>
        <w:pStyle w:val="ListBullet"/>
        <w:spacing w:after="40"/>
      </w:pPr>
      <w:r>
        <w:rPr>
          <w:rFonts w:ascii="Calibri" w:hAnsi="Calibri"/>
          <w:b/>
          <w:sz w:val="18"/>
        </w:rPr>
        <w:t xml:space="preserve">Trump-Xi setup: </w:t>
      </w:r>
      <w:r>
        <w:rPr>
          <w:rFonts w:ascii="Calibri" w:hAnsi="Calibri"/>
          <w:sz w:val="18"/>
        </w:rPr>
        <w:t>CNBC / Fox Business — delegation including Huang, Musk, Cook, Fink confirmed for Beijing Wed.</w:t>
      </w:r>
    </w:p>
    <w:p>
      <w:pPr>
        <w:pStyle w:val="ListBullet"/>
        <w:spacing w:after="40"/>
      </w:pPr>
      <w:r>
        <w:rPr>
          <w:rFonts w:ascii="Calibri" w:hAnsi="Calibri"/>
          <w:b/>
          <w:sz w:val="18"/>
        </w:rPr>
        <w:t xml:space="preserve">Tracker (ground truth): </w:t>
      </w:r>
      <w:r>
        <w:rPr>
          <w:rFonts w:ascii="Calibri" w:hAnsi="Calibri"/>
          <w:sz w:val="18"/>
        </w:rPr>
        <w:t>WM_Growth_Portfolio_Apr2026.xlsx — Portfolio Overview (CONFIRMED).</w:t>
      </w:r>
    </w:p>
    <w:p>
      <w:pPr>
        <w:pStyle w:val="ListBullet"/>
        <w:spacing w:after="40"/>
      </w:pPr>
      <w:r>
        <w:rPr>
          <w:rFonts w:ascii="Calibri" w:hAnsi="Calibri"/>
          <w:b/>
          <w:sz w:val="18"/>
        </w:rPr>
        <w:t xml:space="preserve">Provenance: </w:t>
      </w:r>
      <w:r>
        <w:rPr>
          <w:rFonts w:ascii="Calibri" w:hAnsi="Calibri"/>
          <w:sz w:val="18"/>
        </w:rPr>
        <w:t>Index / macro figures SOURCED. Weights CONFIRMED from tracker. Position-level moves on 5/11 are SOURCED; today's reactions will be SOURCED post-print only.</w:t>
      </w:r>
    </w:p>
    <w:p>
      <w:pPr>
        <w:spacing w:before="120"/>
      </w:pPr>
      <w:r>
        <w:rPr>
          <w:rFonts w:ascii="Calibri" w:hAnsi="Calibri"/>
          <w:i/>
          <w:color w:val="777777"/>
          <w:sz w:val="16"/>
        </w:rPr>
        <w:t>Disclaimer: This report is prepared for the WM Growth Portfolio under IPS v1.0 (effective Apr 21, 2026). Estimates and analyst targets are not investment advice. Past performance is not indicative of future results. All recommendations are constrained by the IPS (max single 7.0%, max sector 35.0%, cash 10–20%, no leverage / options / shorts).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