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6"/>
        </w:rPr>
        <w:t>DAILY PRE-MARKET PORTFOLIO REPORT</w:t>
      </w:r>
    </w:p>
    <w:p>
      <w:pPr>
        <w:jc w:val="center"/>
      </w:pPr>
      <w:r>
        <w:rPr>
          <w:rFonts w:ascii="Calibri" w:hAnsi="Calibri"/>
          <w:i/>
          <w:sz w:val="22"/>
        </w:rPr>
        <w:t>Long-Term Growth Portfolio  |  Active Wealth Management</w:t>
      </w:r>
    </w:p>
    <w:p>
      <w:pPr>
        <w:jc w:val="center"/>
      </w:pPr>
      <w:r>
        <w:rPr>
          <w:rFonts w:ascii="Calibri" w:hAnsi="Calibri"/>
          <w:color w:val="555555"/>
          <w:sz w:val="20"/>
        </w:rPr>
        <w:t>Report Date: Wednesday, May 13, 2026  |  Benchmark: S&amp;P 500  |  Horizon: Long-Term Growth</w:t>
      </w:r>
    </w:p>
    <w:p>
      <w:pPr>
        <w:spacing w:before="160" w:after="80"/>
      </w:pPr>
      <w:r>
        <w:rPr>
          <w:rFonts w:ascii="Calibri" w:hAnsi="Calibri"/>
          <w:b/>
          <w:color w:val="365F91"/>
          <w:sz w:val="28"/>
        </w:rPr>
        <w:t>1. Market Snapshot — Pre-Market / Macro</w:t>
      </w:r>
    </w:p>
    <w:tbl>
      <w:tblPr>
        <w:tblW w:type="auto" w:w="0"/>
        <w:jc w:val="left"/>
        <w:tblLook w:firstColumn="1" w:firstRow="1" w:lastColumn="0" w:lastRow="0" w:noHBand="0" w:noVBand="1" w:val="04A0"/>
      </w:tblPr>
      <w:tblGrid>
        <w:gridCol w:w="2484"/>
        <w:gridCol w:w="2484"/>
        <w:gridCol w:w="2484"/>
        <w:gridCol w:w="2484"/>
      </w:tblGrid>
      <w:tr>
        <w:tc>
          <w:tcPr>
            <w:tcW w:type="dxa" w:w="216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Instrument</w:t>
            </w:r>
          </w:p>
        </w:tc>
        <w:tc>
          <w:tcPr>
            <w:tcW w:type="dxa" w:w="201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Level</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Change</w:t>
            </w:r>
          </w:p>
        </w:tc>
        <w:tc>
          <w:tcPr>
            <w:tcW w:type="dxa" w:w="129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Tag</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S&amp;P 500 e-minis (pre-PPI)</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 -0.1% to flat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Digesting CPI</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Nasdaq 100 e-minis</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 -0.2%</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 off CPI-day lows</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Dow futures</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 +0.1%</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Cyclical bid</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Tue 5/12 close</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S&amp;P 7,400.96 (-0.16%); Nasdaq 26,088.20 (-0.71%); Dow 49,760.56 (+0.11%)</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 sagged on hot CPI</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April CPI (Tue)</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+0.6% m/m / +3.8% y/y; core +0.4% / +2.8%</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Highest headline since May 2023</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WTI / Brent (Tue settle)</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$102.18 (+4.2%) / $107.77 (+3.4%)</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Oil $100+ on Iran-deal failure</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Today events</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PPI 8:30 ET; Senate Warsh vote; Trump-Xi in Beijing; CSCO Q3 AMC</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Heavy event day</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bl>
    <w:p>
      <w:pPr>
        <w:spacing w:after="80"/>
      </w:pPr>
      <w:r>
        <w:rPr>
          <w:rFonts w:ascii="Calibri" w:hAnsi="Calibri"/>
          <w:b w:val="0"/>
          <w:i w:val="0"/>
          <w:sz w:val="20"/>
        </w:rPr>
        <w:t>Macro lens. CPI re-accelerated to +3.8% y/y Tuesday; the tape took it in two parts — tech sold off (Nasdaq -0.71%) while the Dow eked out a gain. Today is a four-event day: April PPI at 8:30 (expected to compound the CPI signal), the Senate vote on Warsh as Fed Chair, Trump landing in Beijing with a heavyweight CEO delegation (Huang, Musk, Cook, Fink, Fraser, Sikes), and Cisco Q3 AMC — the next AI-infrastructure read. Risk-on into the China narrative; rate path tightening into the data. Portfolio reactive at 15.0% cash floor.</w:t>
      </w:r>
    </w:p>
    <w:p>
      <w:pPr>
        <w:spacing w:before="160" w:after="80"/>
      </w:pPr>
      <w:r>
        <w:rPr>
          <w:rFonts w:ascii="Calibri" w:hAnsi="Calibri"/>
          <w:b/>
          <w:color w:val="365F91"/>
          <w:sz w:val="28"/>
        </w:rPr>
        <w:t>2. Scan 1 — Holdings Review (Affected Names)</w:t>
      </w:r>
    </w:p>
    <w:tbl>
      <w:tblPr>
        <w:tblW w:type="auto" w:w="0"/>
        <w:jc w:val="left"/>
        <w:tblLook w:firstColumn="1" w:firstRow="1" w:lastColumn="0" w:lastRow="0" w:noHBand="0" w:noVBand="1" w:val="04A0"/>
      </w:tblPr>
      <w:tblGrid>
        <w:gridCol w:w="2484"/>
        <w:gridCol w:w="2484"/>
        <w:gridCol w:w="2484"/>
        <w:gridCol w:w="2484"/>
      </w:tblGrid>
      <w:tr>
        <w:tc>
          <w:tcPr>
            <w:tcW w:type="dxa" w:w="1872"/>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86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Wt</w:t>
            </w:r>
          </w:p>
        </w:tc>
        <w:tc>
          <w:tcPr>
            <w:tcW w:type="dxa" w:w="504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Catalyst / Read-Through</w:t>
            </w:r>
          </w:p>
        </w:tc>
        <w:tc>
          <w:tcPr>
            <w:tcW w:type="dxa" w:w="244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Action</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NVDA</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6.5%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Huang on Trump's Beijing delegation; H200 China-export approval narrative building. Q1 fiscal 2027 May 20 AMC.</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6.5% — at cap</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MU</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2.5%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Tuesday gave back some Monday gains on CPI tech-tape selloff; memory thesis intact.</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2.5%</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AVGO / MSFT / ORCL / PANW</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4.0 / 4.0 / 3.0 / 4.0%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CSCO Q3 AMC tonight the next AI-infra read. Hyperscaler order-book direction the key tell for the complex.</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all — read CSCO post-close</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TSM</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Foundry read from China-thaw narrative; Trump-Xi summit kicks off today.</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3.0%</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XOM / EOG</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 / 2.5%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WTI $102.18 Tue settle on Iran-deal failure; Brent $107.77. PPI energy expected hot.</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at rebuilt weights — supportive</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UNH</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Carry-value FLAG persists. Stock recovery off March lows continuing; DOJ overhang unchanged.</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3.0% — FLAG persists</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JPM / V</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4.5 / 3.0%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Hot CPI raises rate-path uncertainty for credit cycle; banks should fade slightly.</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both</w:t>
            </w:r>
          </w:p>
        </w:tc>
      </w:tr>
    </w:tbl>
    <w:p>
      <w:pPr>
        <w:spacing w:before="160" w:after="80"/>
      </w:pPr>
      <w:r>
        <w:rPr>
          <w:rFonts w:ascii="Calibri" w:hAnsi="Calibri"/>
          <w:b/>
          <w:color w:val="365F91"/>
          <w:sz w:val="28"/>
        </w:rPr>
        <w:t>3. Scan 2 — New Opportunities &amp; Watchlist</w:t>
      </w:r>
    </w:p>
    <w:tbl>
      <w:tblPr>
        <w:tblW w:type="auto" w:w="0"/>
        <w:jc w:val="left"/>
        <w:tblLook w:firstColumn="1" w:firstRow="1" w:lastColumn="0" w:lastRow="0" w:noHBand="0" w:noVBand="1" w:val="04A0"/>
      </w:tblPr>
      <w:tblGrid>
        <w:gridCol w:w="1656"/>
        <w:gridCol w:w="1656"/>
        <w:gridCol w:w="1656"/>
        <w:gridCol w:w="1656"/>
        <w:gridCol w:w="1656"/>
        <w:gridCol w:w="1656"/>
      </w:tblGrid>
      <w:tr>
        <w:tc>
          <w:tcPr>
            <w:tcW w:type="dxa" w:w="100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86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Conf</w:t>
            </w:r>
          </w:p>
        </w:tc>
        <w:tc>
          <w:tcPr>
            <w:tcW w:type="dxa" w:w="158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Size</w:t>
            </w:r>
          </w:p>
        </w:tc>
        <w:tc>
          <w:tcPr>
            <w:tcW w:type="dxa" w:w="288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Entry Trigger</w:t>
            </w:r>
          </w:p>
        </w:tc>
        <w:tc>
          <w:tcPr>
            <w:tcW w:type="dxa" w:w="288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Price Stop / Thesis Stop</w:t>
            </w:r>
          </w:p>
        </w:tc>
        <w:tc>
          <w:tcPr>
            <w:tcW w:type="dxa" w:w="244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Pre-mortem</w:t>
            </w:r>
          </w:p>
        </w:tc>
      </w:tr>
      <w:tr>
        <w:tc>
          <w:tcPr>
            <w:tcW w:type="dxa" w:w="1008"/>
            <w:tcBorders>
              <w:top w:val="single" w:sz="4" w:color="BFBFBF"/>
              <w:left w:val="single" w:sz="4" w:color="BFBFBF"/>
              <w:bottom w:val="single" w:sz="4" w:color="BFBFBF"/>
              <w:right w:val="single" w:sz="4" w:color="BFBFBF"/>
            </w:tcBorders>
            <w:vAlign w:val="top"/>
          </w:tcPr>
          <w:p>
            <w:r>
              <w:rPr>
                <w:rFonts w:ascii="Calibri" w:hAnsi="Calibri"/>
                <w:sz w:val="18"/>
              </w:rPr>
              <w:t>ARM</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LOW</w:t>
            </w:r>
          </w:p>
        </w:tc>
        <w:tc>
          <w:tcPr>
            <w:tcW w:type="dxa" w:w="1584"/>
            <w:tcBorders>
              <w:top w:val="single" w:sz="4" w:color="BFBFBF"/>
              <w:left w:val="single" w:sz="4" w:color="BFBFBF"/>
              <w:bottom w:val="single" w:sz="4" w:color="BFBFBF"/>
              <w:right w:val="single" w:sz="4" w:color="BFBFBF"/>
            </w:tcBorders>
            <w:vAlign w:val="top"/>
          </w:tcPr>
          <w:p>
            <w:r>
              <w:rPr>
                <w:rFonts w:ascii="Calibri" w:hAnsi="Calibri"/>
                <w:sz w:val="18"/>
              </w:rPr>
              <w:t>1.0% from cash</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Sustained close &lt;$130 — not met</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Px stop $118 / Thesis: AI-edge royalty &lt;30% y/y for 2 qtrs</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Wrong if supply gap proves transient AND multiple does not compress</w:t>
            </w:r>
          </w:p>
        </w:tc>
      </w:tr>
      <w:tr>
        <w:tc>
          <w:tcPr>
            <w:tcW w:type="dxa" w:w="1008"/>
            <w:tcBorders>
              <w:top w:val="single" w:sz="4" w:color="BFBFBF"/>
              <w:left w:val="single" w:sz="4" w:color="BFBFBF"/>
              <w:bottom w:val="single" w:sz="4" w:color="BFBFBF"/>
              <w:right w:val="single" w:sz="4" w:color="BFBFBF"/>
            </w:tcBorders>
            <w:vAlign w:val="top"/>
          </w:tcPr>
          <w:p>
            <w:r>
              <w:rPr>
                <w:rFonts w:ascii="Calibri" w:hAnsi="Calibri"/>
                <w:sz w:val="18"/>
              </w:rPr>
              <w:t>SPOT</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MED</w:t>
            </w:r>
          </w:p>
        </w:tc>
        <w:tc>
          <w:tcPr>
            <w:tcW w:type="dxa" w:w="1584"/>
            <w:tcBorders>
              <w:top w:val="single" w:sz="4" w:color="BFBFBF"/>
              <w:left w:val="single" w:sz="4" w:color="BFBFBF"/>
              <w:bottom w:val="single" w:sz="4" w:color="BFBFBF"/>
              <w:right w:val="single" w:sz="4" w:color="BFBFBF"/>
            </w:tcBorders>
            <w:vAlign w:val="top"/>
          </w:tcPr>
          <w:p>
            <w:r>
              <w:rPr>
                <w:rFonts w:ascii="Calibri" w:hAnsi="Calibri"/>
                <w:sz w:val="18"/>
              </w:rPr>
              <w:t>1.5% from cash</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&lt;$650 sustained close (price long met; cash floor blocks)</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Px stop $610 (-6%) / Thesis: ad-rev &lt;8% y/y for 2 qtrs</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Wrong if podcast/ad flywheel decouples from Premium FCF</w:t>
            </w:r>
          </w:p>
        </w:tc>
      </w:tr>
    </w:tbl>
    <w:p>
      <w:pPr>
        <w:spacing w:after="80"/>
      </w:pPr>
      <w:r>
        <w:rPr>
          <w:rFonts w:ascii="Calibri" w:hAnsi="Calibri"/>
          <w:b w:val="0"/>
          <w:i w:val="0"/>
          <w:sz w:val="20"/>
        </w:rPr>
        <w:t>No watchlist entries today. CSCO post-close print will inform AI-infra read; will defer any candidate add until macro events of the day (PPI / Warsh) clear.</w:t>
      </w:r>
    </w:p>
    <w:p>
      <w:pPr>
        <w:spacing w:before="160" w:after="80"/>
      </w:pPr>
      <w:r>
        <w:rPr>
          <w:rFonts w:ascii="Calibri" w:hAnsi="Calibri"/>
          <w:b/>
          <w:color w:val="365F91"/>
          <w:sz w:val="28"/>
        </w:rPr>
        <w:t>4. Cash Recommendation</w:t>
      </w:r>
    </w:p>
    <w:tbl>
      <w:tblPr>
        <w:tblW w:type="auto" w:w="0"/>
        <w:jc w:val="left"/>
        <w:tblLook w:firstColumn="1" w:firstRow="1" w:lastColumn="0" w:lastRow="0" w:noHBand="0" w:noVBand="1" w:val="04A0"/>
      </w:tblPr>
      <w:tblGrid>
        <w:gridCol w:w="3312"/>
        <w:gridCol w:w="3312"/>
        <w:gridCol w:w="3312"/>
      </w:tblGrid>
      <w:tr>
        <w:tc>
          <w:tcPr>
            <w:tcW w:type="dxa" w:w="432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Item</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Value</w:t>
            </w:r>
          </w:p>
        </w:tc>
        <w:tc>
          <w:tcPr>
            <w:tcW w:type="dxa" w:w="374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Status</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Current cash weight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15.0%</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At self-imposed floor</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PPI deploy plan</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On in-line PPI + dovish Warsh dissent → hold; on hot PPI → hold (no trim either way)</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RESERVE</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Trim trigger (WTI sustained close &lt;$90)</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WTI $102+; gap &gt;$12</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NOT MET</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Drawdown trigger (WTD ≤ −3%)</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WTD modest after Tue chop</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NOT MET</w:t>
            </w:r>
          </w:p>
        </w:tc>
      </w:tr>
    </w:tbl>
    <w:p>
      <w:pPr>
        <w:spacing w:after="80"/>
      </w:pPr>
      <w:r>
        <w:rPr>
          <w:rFonts w:ascii="Calibri" w:hAnsi="Calibri"/>
          <w:b w:val="0"/>
          <w:i w:val="0"/>
          <w:sz w:val="20"/>
        </w:rPr>
        <w:t>Rationale. Heavy-event Wednesday justifies preserving cash floor unchanged. Reactive across the four events; no pre-positioning either direction.</w:t>
      </w:r>
    </w:p>
    <w:p>
      <w:pPr>
        <w:spacing w:before="160" w:after="80"/>
      </w:pPr>
      <w:r>
        <w:rPr>
          <w:rFonts w:ascii="Calibri" w:hAnsi="Calibri"/>
          <w:b/>
          <w:color w:val="365F91"/>
          <w:sz w:val="28"/>
        </w:rPr>
        <w:t>5. Pending Catalysts — Status Update</w:t>
      </w:r>
    </w:p>
    <w:tbl>
      <w:tblPr>
        <w:tblW w:type="auto" w:w="0"/>
        <w:jc w:val="left"/>
        <w:tblLook w:firstColumn="1" w:firstRow="1" w:lastColumn="0" w:lastRow="0" w:noHBand="0" w:noVBand="1" w:val="04A0"/>
      </w:tblPr>
      <w:tblGrid>
        <w:gridCol w:w="2484"/>
        <w:gridCol w:w="2484"/>
        <w:gridCol w:w="2484"/>
        <w:gridCol w:w="2484"/>
      </w:tblGrid>
      <w:tr>
        <w:tc>
          <w:tcPr>
            <w:tcW w:type="dxa" w:w="201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When</w:t>
            </w:r>
          </w:p>
        </w:tc>
        <w:tc>
          <w:tcPr>
            <w:tcW w:type="dxa" w:w="388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Event</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Held Read-Through</w:t>
            </w:r>
          </w:p>
        </w:tc>
        <w:tc>
          <w:tcPr>
            <w:tcW w:type="dxa" w:w="216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Pre-Plan</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Today 8:30 ET</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April PPI</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Pipeline pressure read for energy/staples</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Reactive only</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Today (Senate)</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Kevin Warsh Fed Chair confirmation vote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Rate-path duration across growth book</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Reactive only</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Today</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Trump-Xi summit kickoff in Beijing (Huang, Musk, Cook in delegation)</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NVDA, TSM, AVGO, AMZN export exposure</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Monitor for H200 / chip-deal announcements</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Today AMC</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CSCO Q3 (AI-infra read-through)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AVGO 4.0, MSFT 4.0, ORCL 3.0, PANW 4.0</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Read tape Thu open</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Wed May 20 AMC</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NVDA Q1 fiscal 2027 (cons rev $78.98B / EPS $1.78)</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NVDA 6.5, AVGO 4.0, MU 2.5, TSM 3.0</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At cap; thesis-stop check on miss</w:t>
            </w:r>
          </w:p>
        </w:tc>
      </w:tr>
    </w:tbl>
    <w:p>
      <w:pPr>
        <w:spacing w:before="160" w:after="80"/>
      </w:pPr>
      <w:r>
        <w:rPr>
          <w:rFonts w:ascii="Calibri" w:hAnsi="Calibri"/>
          <w:b/>
          <w:color w:val="365F91"/>
          <w:sz w:val="28"/>
        </w:rPr>
        <w:t>6. Recommended Weight Changes (Today)</w:t>
      </w:r>
    </w:p>
    <w:p>
      <w:r>
        <w:rPr>
          <w:rFonts w:ascii="Calibri" w:hAnsi="Calibri"/>
          <w:b/>
          <w:sz w:val="20"/>
        </w:rPr>
        <w:t xml:space="preserve">No weight changes recommended today. </w:t>
      </w:r>
      <w:r>
        <w:rPr>
          <w:rFonts w:ascii="Calibri" w:hAnsi="Calibri"/>
          <w:sz w:val="20"/>
        </w:rPr>
        <w:t>Cash at 15.0% floor. All IPS hard limits within band. Defensive posture preserved across PPI, Warsh, Beijing summit, and CSCO print. Reactive only on outliers or thesis-stop hits.</w:t>
      </w:r>
    </w:p>
    <w:p>
      <w:pPr>
        <w:spacing w:before="160" w:after="80"/>
      </w:pPr>
      <w:r>
        <w:rPr>
          <w:rFonts w:ascii="Calibri" w:hAnsi="Calibri"/>
          <w:b/>
          <w:color w:val="365F91"/>
          <w:sz w:val="28"/>
        </w:rPr>
        <w:t>7. Full Portfolio Table — 27 Positions + Cash</w:t>
      </w:r>
    </w:p>
    <w:tbl>
      <w:tblPr>
        <w:tblW w:type="auto" w:w="0"/>
        <w:jc w:val="left"/>
        <w:tblLook w:firstColumn="1" w:firstRow="1" w:lastColumn="0" w:lastRow="0" w:noHBand="0" w:noVBand="1" w:val="04A0"/>
      </w:tblPr>
      <w:tblGrid>
        <w:gridCol w:w="3312"/>
        <w:gridCol w:w="3312"/>
        <w:gridCol w:w="3312"/>
      </w:tblGrid>
      <w:tr>
        <w:tc>
          <w:tcPr>
            <w:tcW w:type="dxa" w:w="172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Sector</w:t>
            </w:r>
          </w:p>
        </w:tc>
        <w:tc>
          <w:tcPr>
            <w:tcW w:type="dxa" w:w="144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Weight</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NVDA</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6.5%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AMZN</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5.5%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META</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LLY</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JPM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Financials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AVGO</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MSFT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PANW</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QQQ</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ORCL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GOOGL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PLTR</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UNH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XOM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Energy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V</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Financials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TSM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MU</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EOG</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Energy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COST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Cons. Staples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VUG</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SCHD</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DASH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Cons. Disc.</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NEE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Utilities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ABBV</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NFLX</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CRWD</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INTC</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CASH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Cash</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15.0%</w:t>
            </w:r>
          </w:p>
        </w:tc>
      </w:tr>
    </w:tbl>
    <w:p>
      <w:r>
        <w:rPr>
          <w:rFonts w:ascii="Calibri" w:hAnsi="Calibri"/>
          <w:b/>
          <w:color w:val="0B6E3D"/>
          <w:sz w:val="20"/>
        </w:rPr>
        <w:t>Portfolio sum verified: 100.0% = 100.0% ✓</w:t>
      </w:r>
    </w:p>
    <w:p>
      <w:pPr>
        <w:spacing w:before="160" w:after="80"/>
      </w:pPr>
      <w:r>
        <w:rPr>
          <w:rFonts w:ascii="Calibri" w:hAnsi="Calibri"/>
          <w:b/>
          <w:color w:val="365F91"/>
          <w:sz w:val="28"/>
        </w:rPr>
        <w:t>8. Sources &amp; Methodology</w:t>
      </w:r>
    </w:p>
    <w:p>
      <w:pPr>
        <w:pStyle w:val="ListBullet"/>
        <w:spacing w:after="40"/>
      </w:pPr>
      <w:r>
        <w:rPr>
          <w:rFonts w:ascii="Calibri" w:hAnsi="Calibri"/>
          <w:b/>
          <w:sz w:val="18"/>
        </w:rPr>
        <w:t xml:space="preserve">Tue 5/12 close + CPI: </w:t>
      </w:r>
      <w:r>
        <w:rPr>
          <w:rFonts w:ascii="Calibri" w:hAnsi="Calibri"/>
          <w:sz w:val="18"/>
        </w:rPr>
        <w:t>TheStreet / CNBC / Bloomberg — S&amp;P -0.16%, Nasdaq -0.71%; April CPI +0.6%/+3.8%.</w:t>
      </w:r>
    </w:p>
    <w:p>
      <w:pPr>
        <w:pStyle w:val="ListBullet"/>
        <w:spacing w:after="40"/>
      </w:pPr>
      <w:r>
        <w:rPr>
          <w:rFonts w:ascii="Calibri" w:hAnsi="Calibri"/>
          <w:b/>
          <w:sz w:val="18"/>
        </w:rPr>
        <w:t xml:space="preserve">Oil: </w:t>
      </w:r>
      <w:r>
        <w:rPr>
          <w:rFonts w:ascii="Calibri" w:hAnsi="Calibri"/>
          <w:sz w:val="18"/>
        </w:rPr>
        <w:t>CNBC May 12 — WTI $102.18 (+4.2%); Brent $107.77 (+3.4%) on Iran-deal failure.</w:t>
      </w:r>
    </w:p>
    <w:p>
      <w:pPr>
        <w:pStyle w:val="ListBullet"/>
        <w:spacing w:after="40"/>
      </w:pPr>
      <w:r>
        <w:rPr>
          <w:rFonts w:ascii="Calibri" w:hAnsi="Calibri"/>
          <w:b/>
          <w:sz w:val="18"/>
        </w:rPr>
        <w:t xml:space="preserve">PPI consensus / preview: </w:t>
      </w:r>
      <w:r>
        <w:rPr>
          <w:rFonts w:ascii="Calibri" w:hAnsi="Calibri"/>
          <w:sz w:val="18"/>
        </w:rPr>
        <w:t>Trading Economics / BLS PPI release schedule.</w:t>
      </w:r>
    </w:p>
    <w:p>
      <w:pPr>
        <w:pStyle w:val="ListBullet"/>
        <w:spacing w:after="40"/>
      </w:pPr>
      <w:r>
        <w:rPr>
          <w:rFonts w:ascii="Calibri" w:hAnsi="Calibri"/>
          <w:b/>
          <w:sz w:val="18"/>
        </w:rPr>
        <w:t xml:space="preserve">Warsh vote: </w:t>
      </w:r>
      <w:r>
        <w:rPr>
          <w:rFonts w:ascii="Calibri" w:hAnsi="Calibri"/>
          <w:sz w:val="18"/>
        </w:rPr>
        <w:t>CNBC / NPR / Washington Post — vote scheduled today.</w:t>
      </w:r>
    </w:p>
    <w:p>
      <w:pPr>
        <w:pStyle w:val="ListBullet"/>
        <w:spacing w:after="40"/>
      </w:pPr>
      <w:r>
        <w:rPr>
          <w:rFonts w:ascii="Calibri" w:hAnsi="Calibri"/>
          <w:b/>
          <w:sz w:val="18"/>
        </w:rPr>
        <w:t xml:space="preserve">Trump-Xi: </w:t>
      </w:r>
      <w:r>
        <w:rPr>
          <w:rFonts w:ascii="Calibri" w:hAnsi="Calibri"/>
          <w:sz w:val="18"/>
        </w:rPr>
        <w:t>CNBC / Fox Business / PBS NewsHour — Huang, Musk, Cook, Fink in delegation.</w:t>
      </w:r>
    </w:p>
    <w:p>
      <w:pPr>
        <w:pStyle w:val="ListBullet"/>
        <w:spacing w:after="40"/>
      </w:pPr>
      <w:r>
        <w:rPr>
          <w:rFonts w:ascii="Calibri" w:hAnsi="Calibri"/>
          <w:b/>
          <w:sz w:val="18"/>
        </w:rPr>
        <w:t xml:space="preserve">CSCO AMC: </w:t>
      </w:r>
      <w:r>
        <w:rPr>
          <w:rFonts w:ascii="Calibri" w:hAnsi="Calibri"/>
          <w:sz w:val="18"/>
        </w:rPr>
        <w:t>Seeking Alpha / Heygotrade — Q3 FY26 preview; AI-infra / Splunk focus.</w:t>
      </w:r>
    </w:p>
    <w:p>
      <w:pPr>
        <w:pStyle w:val="ListBullet"/>
        <w:spacing w:after="40"/>
      </w:pPr>
      <w:r>
        <w:rPr>
          <w:rFonts w:ascii="Calibri" w:hAnsi="Calibri"/>
          <w:b/>
          <w:sz w:val="18"/>
        </w:rPr>
        <w:t xml:space="preserve">Tracker (ground truth): </w:t>
      </w:r>
      <w:r>
        <w:rPr>
          <w:rFonts w:ascii="Calibri" w:hAnsi="Calibri"/>
          <w:sz w:val="18"/>
        </w:rPr>
        <w:t>WM_Growth_Portfolio_Apr2026.xlsx — Portfolio Overview (CONFIRMED).</w:t>
      </w:r>
    </w:p>
    <w:p>
      <w:pPr>
        <w:pStyle w:val="ListBullet"/>
        <w:spacing w:after="40"/>
      </w:pPr>
      <w:r>
        <w:rPr>
          <w:rFonts w:ascii="Calibri" w:hAnsi="Calibri"/>
          <w:b/>
          <w:sz w:val="18"/>
        </w:rPr>
        <w:t xml:space="preserve">Provenance: </w:t>
      </w:r>
      <w:r>
        <w:rPr>
          <w:rFonts w:ascii="Calibri" w:hAnsi="Calibri"/>
          <w:sz w:val="18"/>
        </w:rPr>
        <w:t>Index / macro / oil figures SOURCED. Weights CONFIRMED. Position-level commentary qualitative; no CALIBRATED moves cited.</w:t>
      </w:r>
    </w:p>
    <w:p>
      <w:pPr>
        <w:spacing w:before="120"/>
      </w:pPr>
      <w:r>
        <w:rPr>
          <w:rFonts w:ascii="Calibri" w:hAnsi="Calibri"/>
          <w:i/>
          <w:color w:val="777777"/>
          <w:sz w:val="16"/>
        </w:rPr>
        <w:t>Disclaimer: This report is prepared for the WM Growth Portfolio under IPS v1.0 (effective Apr 21, 2026). Estimates and analyst targets are not investment advice. Past performance is not indicative of future results. All recommendations are constrained by the IPS (max single 7.0%, max sector 35.0%, cash 10–20%, no leverage / options / shorts).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