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1F4E79"/>
          <w:sz w:val="36"/>
        </w:rPr>
        <w:t>DAILY PRE-MARKET PORTFOLIO REPORT</w:t>
      </w:r>
    </w:p>
    <w:p>
      <w:pPr>
        <w:jc w:val="center"/>
      </w:pPr>
      <w:r>
        <w:rPr>
          <w:rFonts w:ascii="Calibri" w:hAnsi="Calibri" w:cs="Calibri"/>
          <w:b w:val="0"/>
          <w:i/>
          <w:sz w:val="22"/>
        </w:rPr>
        <w:t>Long-Term Growth Portfolio  |  Active Wealth Management</w:t>
      </w:r>
    </w:p>
    <w:p>
      <w:pPr>
        <w:jc w:val="center"/>
      </w:pPr>
      <w:r>
        <w:rPr>
          <w:rFonts w:ascii="Calibri" w:hAnsi="Calibri" w:cs="Calibri"/>
          <w:b w:val="0"/>
          <w:i w:val="0"/>
          <w:color w:val="555555"/>
          <w:sz w:val="20"/>
        </w:rPr>
        <w:t>Report Date: Thursday, May 14, 2026  |  Benchmark: S&amp;P 500  |  Horizon: Long-Term Growth</w:t>
      </w:r>
      <w:r>
        <w:rPr>
          <w:rFonts w:ascii="Calibri" w:hAnsi="Calibri" w:cs="Calibri"/>
          <w:b w:val="0"/>
          <w:i/>
          <w:color w:val="555555"/>
          <w:sz w:val="18"/>
        </w:rPr>
        <w:br/>
        <w:t>Intraday refresh — generated ~09:52 ET (post-open)</w:t>
      </w:r>
    </w:p>
    <w:p>
      <w:pPr>
        <w:spacing w:before="160" w:after="80"/>
      </w:pPr>
      <w:r>
        <w:rPr>
          <w:rFonts w:ascii="Calibri" w:hAnsi="Calibri" w:cs="Calibri"/>
          <w:b/>
          <w:i w:val="0"/>
          <w:color w:val="365F91"/>
          <w:sz w:val="28"/>
        </w:rPr>
        <w:t>1. Market Snapshot — Intraday (Post-Open) / Macro</w:t>
      </w:r>
    </w:p>
    <w:tbl>
      <w:tblPr>
        <w:tblW w:type="auto" w:w="0"/>
        <w:tblLayout w:type="fixed"/>
        <w:tblLook w:firstColumn="1" w:firstRow="1" w:lastColumn="0" w:lastRow="0" w:noHBand="0" w:noVBand="1" w:val="04A0"/>
      </w:tblPr>
      <w:tblGrid>
        <w:gridCol w:w="2484"/>
        <w:gridCol w:w="2484"/>
        <w:gridCol w:w="2484"/>
        <w:gridCol w:w="2484"/>
      </w:tblGrid>
      <w:tr>
        <w:tc>
          <w:tcPr>
            <w:tcW w:type="dxa" w:w="2448"/>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Instrument</w:t>
            </w:r>
          </w:p>
        </w:tc>
        <w:tc>
          <w:tcPr>
            <w:tcW w:type="dxa" w:w="201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Level</w:t>
            </w:r>
          </w:p>
        </w:tc>
        <w:tc>
          <w:tcPr>
            <w:tcW w:type="dxa" w:w="2448"/>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Change</w:t>
            </w:r>
          </w:p>
        </w:tc>
        <w:tc>
          <w:tcPr>
            <w:tcW w:type="dxa" w:w="129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Tag</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S&amp;P 500 (cash)</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7,465.35</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+0.28%</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Nasdaq Composite</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26,445.35</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+0.16%</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Dow Industrials</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50,079.71</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+0.78% (+373)</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WTI crude</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$101.04</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approx. flat</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Brent crude</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$104.80</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approx. flat</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10Y UST yield</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~4.62%</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 bps (Wed)</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r>
        <w:tc>
          <w:tcPr>
            <w:tcW w:type="dxa" w:w="244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DXY</w:t>
            </w:r>
          </w:p>
        </w:tc>
        <w:tc>
          <w:tcPr>
            <w:tcW w:type="dxa" w:w="201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~100.75</w:t>
            </w:r>
          </w:p>
        </w:tc>
        <w:tc>
          <w:tcPr>
            <w:tcW w:type="dxa" w:w="2448"/>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+0.12 (Wed)</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SOURCED</w:t>
            </w:r>
          </w:p>
        </w:tc>
      </w:tr>
    </w:tbl>
    <w:p>
      <w:pPr>
        <w:spacing w:after="80"/>
      </w:pPr>
      <w:r>
        <w:rPr>
          <w:rFonts w:ascii="Calibri" w:hAnsi="Calibri" w:cs="Calibri"/>
          <w:b/>
          <w:i w:val="0"/>
          <w:sz w:val="20"/>
        </w:rPr>
        <w:t xml:space="preserve">Macro lens. </w:t>
      </w:r>
      <w:r>
        <w:rPr>
          <w:rFonts w:ascii="Calibri" w:hAnsi="Calibri" w:cs="Calibri"/>
          <w:b w:val="0"/>
          <w:i w:val="0"/>
          <w:sz w:val="20"/>
        </w:rPr>
        <w:t>Two hot prints in three sessions (April CPI +3.8% y/y on May 12; April PPI +1.4% m/m / +6.0% y/y on May 13) reset the rate path: CME pricing puts ~62% odds on zero 2026 Fed cuts. Kevin Warsh confirmed Fed Chair on May 13 (54-45 — closest modern-era vote); first FOMC June 16–17. Today at 8:30 ET: April retail sales +0.5% m/m (vs March revised +1.6%), ex-gas +0.3% — consumer growth decelerating; initial jobless claims 211k vs cons 205k. Tape opened constructive on Cisco +15% (raised AI guide; FY26 AI orders $5B→$9B) and continued US–China summit / NVDA H200 export-approval narrative. WTI holds $100+ with Hormuz risk premium intact.</w:t>
      </w:r>
    </w:p>
    <w:p>
      <w:pPr>
        <w:spacing w:before="160" w:after="80"/>
      </w:pPr>
      <w:r>
        <w:rPr>
          <w:rFonts w:ascii="Calibri" w:hAnsi="Calibri" w:cs="Calibri"/>
          <w:b/>
          <w:i w:val="0"/>
          <w:color w:val="365F91"/>
          <w:sz w:val="28"/>
        </w:rPr>
        <w:t>2. Scan 1 — Holdings Review (Affected Names)</w:t>
      </w:r>
    </w:p>
    <w:tbl>
      <w:tblPr>
        <w:tblW w:type="auto" w:w="0"/>
        <w:tblLayout w:type="fixed"/>
        <w:tblLook w:firstColumn="1" w:firstRow="1" w:lastColumn="0" w:lastRow="0" w:noHBand="0" w:noVBand="1" w:val="04A0"/>
      </w:tblPr>
      <w:tblGrid>
        <w:gridCol w:w="2484"/>
        <w:gridCol w:w="2484"/>
        <w:gridCol w:w="2484"/>
        <w:gridCol w:w="2484"/>
      </w:tblGrid>
      <w:tr>
        <w:tc>
          <w:tcPr>
            <w:tcW w:type="dxa" w:w="201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Ticker</w:t>
            </w:r>
          </w:p>
        </w:tc>
        <w:tc>
          <w:tcPr>
            <w:tcW w:type="dxa" w:w="1440"/>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Wt</w:t>
            </w:r>
          </w:p>
        </w:tc>
        <w:tc>
          <w:tcPr>
            <w:tcW w:type="dxa" w:w="5328"/>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Catalyst / Read-Through</w:t>
            </w:r>
          </w:p>
        </w:tc>
        <w:tc>
          <w:tcPr>
            <w:tcW w:type="dxa" w:w="201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Action</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NVDA</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6.5%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Huang in Trump Beijing delegation; Commerce approved ~10 Chinese firms (BABA, Tencent, ByteDance, JD, Lenovo, Foxconn) for H200 chips (up to 75k units each; ~1.5M total potential). Overnight high $233.22; intraday $221.57–$227.84. Q1 fiscal 2027 May 20 AMC (cons rev $78.98B +79% y/y; EPS $1.78).</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6.5% — at cap; no add room</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MU</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Pre-open +4.2% on $3.6B dollar-volume; semis bid extends post-Cisco AI guide. ARM supply-cap signal additive.</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2.5% — cash floor blocks add</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AVGO / MSFT / ORCL / PANW</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4.0 / 4.0 / 3.0 / 4.0</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Cisco Q3 (May 13 AMC) confirmed +15% at open after +17% AH on raised AI guide — FY26 AI orders $5B→$9B; FY26 AI rev $3B→$4B. Positive read-through to held AI-infrastructure complex.</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all</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TSM</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Foundry read-through from US–China tech-thaw narrative; tech bid intact at open.</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3.0%</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XOM / EOG</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 / 2.5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WTI ≈$101 (post Wed −7.6% pullback off 3-day rally); Brent ≈$105. Hormuz risk premium intact. PPI energy +7.8% m/m supportive.</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 &lt;$90 trim trigger &gt;$10 away</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UNH</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May 13 close $404.14 — fresh 52-wk high; +47% off March lows; YTD ~+21%. May 14 intraday $396.00–$402.50. Goldman Sachs added UNH to US Conviction List last week (Medicare Advantage underwriting-inflection thesis); 22 of 28 analysts surveyed Buy/Strong Buy. Tracker carry $510 vs market ~$400 reconciliation FLAG carried over a 6th session.</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3.0% — FLAG carry-value</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DASH / AMZN / COST</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2.0 / 5.5 / 2.5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April retail sales +0.5% m/m (vs March +1.6% revised); ex-gas +0.3%. Dept stores −3.2%, furniture −2.0%, online retailers +1.1%. Higher gas prices crowding out discretionary spend — neutral-to-mild-negative read.</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all — monitor</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META</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No new catalyst. FTC monopolization case dismissed Nov 18, 2025; FTC appeal filed Jan 2026, no decision pending.</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4.5%</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PLTR</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Seeking Alpha bull call May 12 — accelerating AI-driven growth + margin. Q1 beat-and-raise digested.</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3.0%</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LLY</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No new catalyst. Q1 (Apr 30) reaction stable; HSBC Mar 2026 Reduce already digested.</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4.5%</w:t>
            </w:r>
          </w:p>
        </w:tc>
      </w:tr>
      <w:tr>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CRWD / INTC</w:t>
            </w:r>
          </w:p>
        </w:tc>
        <w:tc>
          <w:tcPr>
            <w:tcW w:type="dxa" w:w="144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 / 1.5</w:t>
            </w:r>
          </w:p>
        </w:tc>
        <w:tc>
          <w:tcPr>
            <w:tcW w:type="dxa" w:w="532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No new catalysts. Pending-catalyst adds from Apr 21 / Apr 24 carry-status intact.</w:t>
            </w:r>
          </w:p>
        </w:tc>
        <w:tc>
          <w:tcPr>
            <w:tcW w:type="dxa" w:w="201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HOLD both</w:t>
            </w:r>
          </w:p>
        </w:tc>
      </w:tr>
    </w:tbl>
    <w:p>
      <w:pPr>
        <w:spacing w:before="160" w:after="80"/>
      </w:pPr>
      <w:r>
        <w:rPr>
          <w:rFonts w:ascii="Calibri" w:hAnsi="Calibri" w:cs="Calibri"/>
          <w:b/>
          <w:i w:val="0"/>
          <w:color w:val="365F91"/>
          <w:sz w:val="28"/>
        </w:rPr>
        <w:t>3. Scan 2 — New Opportunities &amp; Watchlist</w:t>
      </w:r>
    </w:p>
    <w:p>
      <w:pPr>
        <w:spacing w:after="80"/>
      </w:pPr>
      <w:r>
        <w:rPr>
          <w:rFonts w:ascii="Calibri" w:hAnsi="Calibri" w:cs="Calibri"/>
          <w:b w:val="0"/>
          <w:i w:val="0"/>
          <w:sz w:val="20"/>
        </w:rPr>
        <w:t>No new entries today. ARM trigger (sustained close &lt;$130) not met. SPOT historical &lt;$650 trigger long-since met but blocked by 15.0% cash floor. CSCO read-through already harvested via held AI-infra names (PANW, AVGO, ORCL, MSFT) — no separate entry.</w:t>
      </w:r>
    </w:p>
    <w:tbl>
      <w:tblPr>
        <w:tblW w:type="auto" w:w="0"/>
        <w:tblLayout w:type="fixed"/>
        <w:tblLook w:firstColumn="1" w:firstRow="1" w:lastColumn="0" w:lastRow="0" w:noHBand="0" w:noVBand="1" w:val="04A0"/>
      </w:tblPr>
      <w:tblGrid>
        <w:gridCol w:w="1656"/>
        <w:gridCol w:w="1656"/>
        <w:gridCol w:w="1656"/>
        <w:gridCol w:w="1656"/>
        <w:gridCol w:w="1656"/>
        <w:gridCol w:w="1656"/>
      </w:tblGrid>
      <w:tr>
        <w:tc>
          <w:tcPr>
            <w:tcW w:type="dxa" w:w="1008"/>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Ticker</w:t>
            </w:r>
          </w:p>
        </w:tc>
        <w:tc>
          <w:tcPr>
            <w:tcW w:type="dxa" w:w="720"/>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Conf</w:t>
            </w:r>
          </w:p>
        </w:tc>
        <w:tc>
          <w:tcPr>
            <w:tcW w:type="dxa" w:w="1584"/>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Size</w:t>
            </w:r>
          </w:p>
        </w:tc>
        <w:tc>
          <w:tcPr>
            <w:tcW w:type="dxa" w:w="2592"/>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Entry Trigger</w:t>
            </w:r>
          </w:p>
        </w:tc>
        <w:tc>
          <w:tcPr>
            <w:tcW w:type="dxa" w:w="2592"/>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Price / Thesis Stop</w:t>
            </w:r>
          </w:p>
        </w:tc>
        <w:tc>
          <w:tcPr>
            <w:tcW w:type="dxa" w:w="2304"/>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Pre-mortem</w:t>
            </w:r>
          </w:p>
        </w:tc>
      </w:tr>
      <w:tr>
        <w:tc>
          <w:tcPr>
            <w:tcW w:type="dxa" w:w="100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ARM</w:t>
            </w:r>
          </w:p>
        </w:tc>
        <w:tc>
          <w:tcPr>
            <w:tcW w:type="dxa" w:w="72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LOW</w:t>
            </w:r>
          </w:p>
        </w:tc>
        <w:tc>
          <w:tcPr>
            <w:tcW w:type="dxa" w:w="1584"/>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1.0% from cash</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Sustained close &lt;$130 with supply-capacity guidance update</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Px $118 / AI-edge royalty growth &lt;30% y/y for 2 qtrs</w:t>
            </w:r>
          </w:p>
        </w:tc>
        <w:tc>
          <w:tcPr>
            <w:tcW w:type="dxa" w:w="230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Wrong if AGI-CPU supply gap proves transient AND multiple does not compress</w:t>
            </w:r>
          </w:p>
        </w:tc>
      </w:tr>
      <w:tr>
        <w:tc>
          <w:tcPr>
            <w:tcW w:type="dxa" w:w="100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SPOT</w:t>
            </w:r>
          </w:p>
        </w:tc>
        <w:tc>
          <w:tcPr>
            <w:tcW w:type="dxa" w:w="72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MED</w:t>
            </w:r>
          </w:p>
        </w:tc>
        <w:tc>
          <w:tcPr>
            <w:tcW w:type="dxa" w:w="1584"/>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 from cash</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&lt;$650 sustained close (last ≈$447 — historical trigger long met; cash-floor blocks entry)</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Px $610 (−6%) / Ad-rev growth &lt;8% y/y for 2 qtrs</w:t>
            </w:r>
          </w:p>
        </w:tc>
        <w:tc>
          <w:tcPr>
            <w:tcW w:type="dxa" w:w="230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Wrong if podcast/ad flywheel decouples from Premium FCF</w:t>
            </w:r>
          </w:p>
        </w:tc>
      </w:tr>
      <w:tr>
        <w:tc>
          <w:tcPr>
            <w:tcW w:type="dxa" w:w="1008"/>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CSCO</w:t>
            </w:r>
          </w:p>
        </w:tc>
        <w:tc>
          <w:tcPr>
            <w:tcW w:type="dxa" w:w="720"/>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N/A</w:t>
            </w:r>
          </w:p>
        </w:tc>
        <w:tc>
          <w:tcPr>
            <w:tcW w:type="dxa" w:w="1584"/>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Read-through only</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+15% open May 14 on raised AI guide; no pullback in name</w:t>
            </w:r>
          </w:p>
        </w:tc>
        <w:tc>
          <w:tcPr>
            <w:tcW w:type="dxa" w:w="2592"/>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n/a — pass; exposure already in book via PANW/AVGO/ORCL/MSFT</w:t>
            </w:r>
          </w:p>
        </w:tc>
        <w:tc>
          <w:tcPr>
            <w:tcW w:type="dxa" w:w="230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n/a — no entry today</w:t>
            </w:r>
          </w:p>
        </w:tc>
      </w:tr>
    </w:tbl>
    <w:p>
      <w:pPr>
        <w:spacing w:before="160" w:after="80"/>
      </w:pPr>
      <w:r>
        <w:rPr>
          <w:rFonts w:ascii="Calibri" w:hAnsi="Calibri" w:cs="Calibri"/>
          <w:b/>
          <w:i w:val="0"/>
          <w:color w:val="365F91"/>
          <w:sz w:val="28"/>
        </w:rPr>
        <w:t>4. Cash Recommendation</w:t>
      </w:r>
    </w:p>
    <w:tbl>
      <w:tblPr>
        <w:tblW w:type="auto" w:w="0"/>
        <w:tblLayout w:type="fixed"/>
        <w:tblLook w:firstColumn="1" w:firstRow="1" w:lastColumn="0" w:lastRow="0" w:noHBand="0" w:noVBand="1" w:val="04A0"/>
      </w:tblPr>
      <w:tblGrid>
        <w:gridCol w:w="3312"/>
        <w:gridCol w:w="3312"/>
        <w:gridCol w:w="3312"/>
      </w:tblGrid>
      <w:tr>
        <w:tc>
          <w:tcPr>
            <w:tcW w:type="dxa" w:w="3744"/>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Item</w:t>
            </w:r>
          </w:p>
        </w:tc>
        <w:tc>
          <w:tcPr>
            <w:tcW w:type="dxa" w:w="3312"/>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Value</w:t>
            </w:r>
          </w:p>
        </w:tc>
        <w:tc>
          <w:tcPr>
            <w:tcW w:type="dxa" w:w="3600"/>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Status</w:t>
            </w:r>
          </w:p>
        </w:tc>
      </w:tr>
      <w:tr>
        <w:tc>
          <w:tcPr>
            <w:tcW w:type="dxa" w:w="374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Current cash weight</w:t>
            </w:r>
          </w:p>
        </w:tc>
        <w:tc>
          <w:tcPr>
            <w:tcW w:type="dxa" w:w="3312"/>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15.0%</w:t>
            </w:r>
          </w:p>
        </w:tc>
        <w:tc>
          <w:tcPr>
            <w:tcW w:type="dxa" w:w="360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At self-imposed floor (band 10–20%)</w:t>
            </w:r>
          </w:p>
        </w:tc>
      </w:tr>
      <w:tr>
        <w:tc>
          <w:tcPr>
            <w:tcW w:type="dxa" w:w="374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Deploy trigger (NFP &lt;30k AND mkt −1.5%)</w:t>
            </w:r>
          </w:p>
        </w:tc>
        <w:tc>
          <w:tcPr>
            <w:tcW w:type="dxa" w:w="3312"/>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w:t>
            </w:r>
          </w:p>
        </w:tc>
        <w:tc>
          <w:tcPr>
            <w:tcW w:type="dxa" w:w="360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Invalidated May 8 (NFP +115k beat); VOID</w:t>
            </w:r>
          </w:p>
        </w:tc>
      </w:tr>
      <w:tr>
        <w:tc>
          <w:tcPr>
            <w:tcW w:type="dxa" w:w="374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Conditional add capacity (any name)</w:t>
            </w:r>
          </w:p>
        </w:tc>
        <w:tc>
          <w:tcPr>
            <w:tcW w:type="dxa" w:w="3312"/>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0.0%</w:t>
            </w:r>
          </w:p>
        </w:tc>
        <w:tc>
          <w:tcPr>
            <w:tcW w:type="dxa" w:w="360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Blocked — cash at floor</w:t>
            </w:r>
          </w:p>
        </w:tc>
      </w:tr>
      <w:tr>
        <w:tc>
          <w:tcPr>
            <w:tcW w:type="dxa" w:w="374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Risk-off raise trigger (WTD ≥ −3% / vol spike)</w:t>
            </w:r>
          </w:p>
        </w:tc>
        <w:tc>
          <w:tcPr>
            <w:tcW w:type="dxa" w:w="3312"/>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Not active</w:t>
            </w:r>
          </w:p>
        </w:tc>
        <w:tc>
          <w:tcPr>
            <w:tcW w:type="dxa" w:w="360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MONITOR</w:t>
            </w:r>
          </w:p>
        </w:tc>
      </w:tr>
      <w:tr>
        <w:tc>
          <w:tcPr>
            <w:tcW w:type="dxa" w:w="374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Next conditional release</w:t>
            </w:r>
          </w:p>
        </w:tc>
        <w:tc>
          <w:tcPr>
            <w:tcW w:type="dxa" w:w="3312"/>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On macro shock or thesis-stop hit</w:t>
            </w:r>
          </w:p>
        </w:tc>
        <w:tc>
          <w:tcPr>
            <w:tcW w:type="dxa" w:w="360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RESERVED</w:t>
            </w:r>
          </w:p>
        </w:tc>
      </w:tr>
    </w:tbl>
    <w:p>
      <w:pPr>
        <w:spacing w:after="80"/>
      </w:pPr>
      <w:r>
        <w:rPr>
          <w:rFonts w:ascii="Calibri" w:hAnsi="Calibri" w:cs="Calibri"/>
          <w:b/>
          <w:i w:val="0"/>
          <w:sz w:val="20"/>
        </w:rPr>
        <w:t xml:space="preserve">Rationale. </w:t>
      </w:r>
      <w:r>
        <w:rPr>
          <w:rFonts w:ascii="Calibri" w:hAnsi="Calibri" w:cs="Calibri"/>
          <w:b w:val="0"/>
          <w:i w:val="0"/>
          <w:sz w:val="20"/>
        </w:rPr>
        <w:t>Hot CPI + PPI tightens rate-path optionality. April retail sales decelerated (+0.5% m/m, ex-gas +0.3%); jobless claims 211k modestly above consensus. Tape printing record highs (Wed S&amp;P 7,444 / Nasdaq 26,402) and a constructive US–China narrative argue against trimming. Net: hold at the 15.0% floor; remain reactive only on macro shock or thesis-stop hit.</w:t>
      </w:r>
    </w:p>
    <w:p>
      <w:pPr>
        <w:spacing w:before="160" w:after="80"/>
      </w:pPr>
      <w:r>
        <w:rPr>
          <w:rFonts w:ascii="Calibri" w:hAnsi="Calibri" w:cs="Calibri"/>
          <w:b/>
          <w:i w:val="0"/>
          <w:color w:val="365F91"/>
          <w:sz w:val="28"/>
        </w:rPr>
        <w:t>5. Pending Catalysts — Status Update</w:t>
      </w:r>
    </w:p>
    <w:tbl>
      <w:tblPr>
        <w:tblW w:type="auto" w:w="0"/>
        <w:tblLayout w:type="fixed"/>
        <w:tblLook w:firstColumn="1" w:firstRow="1" w:lastColumn="0" w:lastRow="0" w:noHBand="0" w:noVBand="1" w:val="04A0"/>
      </w:tblPr>
      <w:tblGrid>
        <w:gridCol w:w="2484"/>
        <w:gridCol w:w="2484"/>
        <w:gridCol w:w="2484"/>
        <w:gridCol w:w="2484"/>
      </w:tblGrid>
      <w:tr>
        <w:tc>
          <w:tcPr>
            <w:tcW w:type="dxa" w:w="1584"/>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When</w:t>
            </w:r>
          </w:p>
        </w:tc>
        <w:tc>
          <w:tcPr>
            <w:tcW w:type="dxa" w:w="2880"/>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Event</w:t>
            </w:r>
          </w:p>
        </w:tc>
        <w:tc>
          <w:tcPr>
            <w:tcW w:type="dxa" w:w="2880"/>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Held Read-Through</w:t>
            </w:r>
          </w:p>
        </w:tc>
        <w:tc>
          <w:tcPr>
            <w:tcW w:type="dxa" w:w="345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Pre-Plan</w:t>
            </w:r>
          </w:p>
        </w:tc>
      </w:tr>
      <w:tr>
        <w:tc>
          <w:tcPr>
            <w:tcW w:type="dxa" w:w="158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Wed May 20 AMC</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NVDA Q1 fiscal 2027 (cons rev $78.98B / EPS $1.78)</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NVDA 6.5%, AVGO 4.0%, MU 2.5%, TSM 3.0%, ORCL 3.0%</w:t>
            </w:r>
          </w:p>
        </w:tc>
        <w:tc>
          <w:tcPr>
            <w:tcW w:type="dxa" w:w="345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On miss: no trim (thesis-stop not hit); on beat-and-raise: no add capacity (cash floor)</w:t>
            </w:r>
          </w:p>
        </w:tc>
      </w:tr>
      <w:tr>
        <w:tc>
          <w:tcPr>
            <w:tcW w:type="dxa" w:w="158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Jun 16–17</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First FOMC under Warsh</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Rate-path duration sensitivity across growth book</w:t>
            </w:r>
          </w:p>
        </w:tc>
        <w:tc>
          <w:tcPr>
            <w:tcW w:type="dxa" w:w="345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No pre-positioning; reactive only</w:t>
            </w:r>
          </w:p>
        </w:tc>
      </w:tr>
      <w:tr>
        <w:tc>
          <w:tcPr>
            <w:tcW w:type="dxa" w:w="158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Rolling</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WTI sustained close &lt;$90</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XOM 3.0%, EOG 2.5%</w:t>
            </w:r>
          </w:p>
        </w:tc>
        <w:tc>
          <w:tcPr>
            <w:tcW w:type="dxa" w:w="345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Trim XOM −0.5% / EOG −0.5% → cash +1.0% (conditional)</w:t>
            </w:r>
          </w:p>
        </w:tc>
      </w:tr>
      <w:tr>
        <w:tc>
          <w:tcPr>
            <w:tcW w:type="dxa" w:w="158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Rolling</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UNH carry-value reconciliation (6th session)</w:t>
            </w:r>
          </w:p>
        </w:tc>
        <w:tc>
          <w:tcPr>
            <w:tcW w:type="dxa" w:w="2880"/>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UNH 3.0% (tracker carry $510 vs market ≈$400)</w:t>
            </w:r>
          </w:p>
        </w:tc>
        <w:tc>
          <w:tcPr>
            <w:tcW w:type="dxa" w:w="345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Reconcile in next quarterly mark; no trade action</w:t>
            </w:r>
          </w:p>
        </w:tc>
      </w:tr>
    </w:tbl>
    <w:p>
      <w:pPr>
        <w:spacing w:before="160" w:after="80"/>
      </w:pPr>
      <w:r>
        <w:rPr>
          <w:rFonts w:ascii="Calibri" w:hAnsi="Calibri" w:cs="Calibri"/>
          <w:b/>
          <w:i w:val="0"/>
          <w:color w:val="365F91"/>
          <w:sz w:val="28"/>
        </w:rPr>
        <w:t>6. Recommended Weight Changes (Today)</w:t>
      </w:r>
    </w:p>
    <w:p>
      <w:pPr>
        <w:spacing w:after="80"/>
      </w:pPr>
      <w:r>
        <w:rPr>
          <w:rFonts w:ascii="Calibri" w:hAnsi="Calibri" w:cs="Calibri"/>
          <w:b/>
          <w:i w:val="0"/>
          <w:sz w:val="20"/>
        </w:rPr>
        <w:t xml:space="preserve">None. </w:t>
      </w:r>
      <w:r>
        <w:rPr>
          <w:rFonts w:ascii="Calibri" w:hAnsi="Calibri" w:cs="Calibri"/>
          <w:b w:val="0"/>
          <w:i w:val="0"/>
          <w:sz w:val="20"/>
        </w:rPr>
        <w:t>No weight changes recommended today. All IPS hard limits within band (single ≤7.0%, sector ≤35.0%, cash 10–20%). Cash at 15.0% floor blocks any opportunistic add; no held position has hit a trim or thesis stop. Reactive posture preserved into NVDA Q1 print (May 20) and first Warsh FOMC (June 16–17).</w:t>
      </w:r>
    </w:p>
    <w:p>
      <w:pPr>
        <w:spacing w:before="160" w:after="80"/>
      </w:pPr>
      <w:r>
        <w:rPr>
          <w:rFonts w:ascii="Calibri" w:hAnsi="Calibri" w:cs="Calibri"/>
          <w:b/>
          <w:i w:val="0"/>
          <w:color w:val="365F91"/>
          <w:sz w:val="28"/>
        </w:rPr>
        <w:t>7. Full Portfolio Table — 27 Positions + Cash</w:t>
      </w:r>
    </w:p>
    <w:tbl>
      <w:tblPr>
        <w:tblW w:type="auto" w:w="0"/>
        <w:tblLayout w:type="fixed"/>
        <w:tblLook w:firstColumn="1" w:firstRow="1" w:lastColumn="0" w:lastRow="0" w:noHBand="0" w:noVBand="1" w:val="04A0"/>
      </w:tblPr>
      <w:tblGrid>
        <w:gridCol w:w="2484"/>
        <w:gridCol w:w="2484"/>
        <w:gridCol w:w="2484"/>
        <w:gridCol w:w="2484"/>
      </w:tblGrid>
      <w:tr>
        <w:tc>
          <w:tcPr>
            <w:tcW w:type="dxa" w:w="57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w:t>
            </w:r>
          </w:p>
        </w:tc>
        <w:tc>
          <w:tcPr>
            <w:tcW w:type="dxa" w:w="129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Ticker</w:t>
            </w:r>
          </w:p>
        </w:tc>
        <w:tc>
          <w:tcPr>
            <w:tcW w:type="dxa" w:w="3024"/>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Sector</w:t>
            </w:r>
          </w:p>
        </w:tc>
        <w:tc>
          <w:tcPr>
            <w:tcW w:type="dxa" w:w="1296"/>
            <w:shd w:val="clear" w:color="auto" w:fill="1F4E79"/>
            <w:tcBorders>
              <w:top w:val="single" w:sz="4" w:color="BFBFBF"/>
              <w:left w:val="single" w:sz="4" w:color="BFBFBF"/>
              <w:bottom w:val="single" w:sz="4" w:color="BFBFBF"/>
              <w:right w:val="single" w:sz="4" w:color="BFBFBF"/>
            </w:tcBorders>
            <w:vAlign w:val="center"/>
          </w:tcPr>
          <w:p>
            <w:r/>
            <w:r>
              <w:rPr>
                <w:rFonts w:ascii="Calibri" w:hAnsi="Calibri" w:cs="Calibri"/>
                <w:b/>
                <w:i w:val="0"/>
                <w:color w:val="FFFFFF"/>
                <w:sz w:val="20"/>
              </w:rPr>
              <w:t>Weight</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NVDA</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6.5%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AMZN</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5.5%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META</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Communication Svcs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LLY</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Healthcare</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5</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JPM</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Financials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6</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AVGO</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7</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MSFT</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8</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PANW</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4.0%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9</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QQQ</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ETF</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10</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ORCL</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11</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GOOGL</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12</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PLTR</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13</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UNH</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Healthcare</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14</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XOM</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Energy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V</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Financials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16</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TSM</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3.0%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17</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VUG</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ETF</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18</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SCHD</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ETF</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19</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MU</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20</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EOG</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Energy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21</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COST</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Consumer Staples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22</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DASH</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Consumer Disc</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23</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NEE</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Utilities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2.0%</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24</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ABBV</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Healthcare</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25</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NFLX</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Communication Svcs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26</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CRWD</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27</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INTC</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Technology</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w:t>
            </w:r>
          </w:p>
        </w:tc>
      </w:tr>
      <w:tr>
        <w:tc>
          <w:tcPr>
            <w:tcW w:type="dxa" w:w="57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w:t>
            </w:r>
          </w:p>
        </w:tc>
        <w:tc>
          <w:tcPr>
            <w:tcW w:type="dxa" w:w="1296"/>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CASH</w:t>
            </w:r>
          </w:p>
        </w:tc>
        <w:tc>
          <w:tcPr>
            <w:tcW w:type="dxa" w:w="3024"/>
            <w:tcBorders>
              <w:top w:val="single" w:sz="4" w:color="BFBFBF"/>
              <w:left w:val="single" w:sz="4" w:color="BFBFBF"/>
              <w:bottom w:val="single" w:sz="4" w:color="BFBFBF"/>
              <w:right w:val="single" w:sz="4" w:color="BFBFBF"/>
            </w:tcBorders>
            <w:vAlign w:val="top"/>
          </w:tcPr>
          <w:p>
            <w:r/>
            <w:r>
              <w:rPr>
                <w:rFonts w:ascii="Calibri" w:hAnsi="Calibri" w:cs="Calibri"/>
                <w:b w:val="0"/>
                <w:i w:val="0"/>
                <w:sz w:val="18"/>
              </w:rPr>
              <w:t>Cash &amp; Equivalents</w:t>
            </w:r>
          </w:p>
        </w:tc>
        <w:tc>
          <w:tcPr>
            <w:tcW w:type="dxa" w:w="1296"/>
            <w:tcBorders>
              <w:top w:val="single" w:sz="4" w:color="BFBFBF"/>
              <w:left w:val="single" w:sz="4" w:color="BFBFBF"/>
              <w:bottom w:val="single" w:sz="4" w:color="BFBFBF"/>
              <w:right w:val="single" w:sz="4" w:color="BFBFBF"/>
            </w:tcBorders>
            <w:vAlign w:val="top"/>
          </w:tcPr>
          <w:p>
            <w:r/>
            <w:r>
              <w:rPr>
                <w:rFonts w:ascii="Consolas" w:hAnsi="Consolas" w:cs="Consolas"/>
                <w:b w:val="0"/>
                <w:i w:val="0"/>
                <w:sz w:val="18"/>
              </w:rPr>
              <w:t>15.0%</w:t>
            </w:r>
          </w:p>
        </w:tc>
      </w:tr>
    </w:tbl>
    <w:p>
      <w:r>
        <w:rPr>
          <w:rFonts w:ascii="Calibri" w:hAnsi="Calibri" w:cs="Calibri"/>
          <w:b/>
          <w:i w:val="0"/>
          <w:color w:val="0B6E3D"/>
          <w:sz w:val="20"/>
        </w:rPr>
        <w:t>Portfolio sum verified: 100.0% = 100.0% ✓</w:t>
      </w:r>
    </w:p>
    <w:p>
      <w:pPr>
        <w:spacing w:before="160" w:after="80"/>
      </w:pPr>
      <w:r>
        <w:rPr>
          <w:rFonts w:ascii="Calibri" w:hAnsi="Calibri" w:cs="Calibri"/>
          <w:b/>
          <w:i w:val="0"/>
          <w:color w:val="365F91"/>
          <w:sz w:val="28"/>
        </w:rPr>
        <w:t>8. Sources &amp; Methodology</w:t>
      </w:r>
    </w:p>
    <w:p>
      <w:pPr>
        <w:pStyle w:val="ListBullet"/>
        <w:spacing w:after="0"/>
      </w:pPr>
      <w:r>
        <w:rPr>
          <w:rFonts w:ascii="Calibri" w:hAnsi="Calibri" w:cs="Calibri"/>
          <w:b/>
          <w:i w:val="0"/>
          <w:sz w:val="18"/>
        </w:rPr>
        <w:t>Market data:</w:t>
      </w:r>
      <w:r>
        <w:rPr>
          <w:rFonts w:ascii="Calibri" w:hAnsi="Calibri" w:cs="Calibri"/>
          <w:b w:val="0"/>
          <w:i w:val="0"/>
          <w:sz w:val="18"/>
        </w:rPr>
        <w:t xml:space="preserve"> CNBC, Yahoo Finance, Bloomberg, Investing.com, Stocktwits, TradingView, TradingKey (May 13–14, 2026).</w:t>
      </w:r>
    </w:p>
    <w:p>
      <w:pPr>
        <w:pStyle w:val="ListBullet"/>
        <w:spacing w:after="0"/>
      </w:pPr>
      <w:r>
        <w:rPr>
          <w:rFonts w:ascii="Calibri" w:hAnsi="Calibri" w:cs="Calibri"/>
          <w:b/>
          <w:i w:val="0"/>
          <w:sz w:val="18"/>
        </w:rPr>
        <w:t>Macro releases:</w:t>
      </w:r>
      <w:r>
        <w:rPr>
          <w:rFonts w:ascii="Calibri" w:hAnsi="Calibri" w:cs="Calibri"/>
          <w:b w:val="0"/>
          <w:i w:val="0"/>
          <w:sz w:val="18"/>
        </w:rPr>
        <w:t xml:space="preserve"> BLS (April CPI May 12; April PPI May 13); US Census Bureau (April Retail Sales May 14, 8:30 ET); DOL (initial jobless claims week ending May 9).</w:t>
      </w:r>
    </w:p>
    <w:p>
      <w:pPr>
        <w:pStyle w:val="ListBullet"/>
        <w:spacing w:after="0"/>
      </w:pPr>
      <w:r>
        <w:rPr>
          <w:rFonts w:ascii="Calibri" w:hAnsi="Calibri" w:cs="Calibri"/>
          <w:b/>
          <w:i w:val="0"/>
          <w:sz w:val="18"/>
        </w:rPr>
        <w:t>Single-name catalysts:</w:t>
      </w:r>
      <w:r>
        <w:rPr>
          <w:rFonts w:ascii="Calibri" w:hAnsi="Calibri" w:cs="Calibri"/>
          <w:b w:val="0"/>
          <w:i w:val="0"/>
          <w:sz w:val="18"/>
        </w:rPr>
        <w:t xml:space="preserve"> Reuters / Yahoo Finance (NVDA H200 China approval, May 14); CNBC / Bloomberg / Stocktitan (Cisco Q3 print + AI guide raise, May 13–14); Motley Fool / GuruFocus (Goldman UNH Conviction List, May 13–14); Seeking Alpha (PLTR bull call, May 12); Foreign Policy Journal / FXLeaders (Hormuz risk premium, oil reads).</w:t>
      </w:r>
    </w:p>
    <w:p>
      <w:pPr>
        <w:pStyle w:val="ListBullet"/>
        <w:spacing w:after="0"/>
      </w:pPr>
      <w:r>
        <w:rPr>
          <w:rFonts w:ascii="Calibri" w:hAnsi="Calibri" w:cs="Calibri"/>
          <w:b/>
          <w:i w:val="0"/>
          <w:sz w:val="18"/>
        </w:rPr>
        <w:t>Methodology:</w:t>
      </w:r>
      <w:r>
        <w:rPr>
          <w:rFonts w:ascii="Calibri" w:hAnsi="Calibri" w:cs="Calibri"/>
          <w:b w:val="0"/>
          <w:i w:val="0"/>
          <w:sz w:val="18"/>
        </w:rPr>
        <w:t xml:space="preserve"> Provenance tags — SOURCED (live/delayed market data retrieved at write time); CONFIRMED (aggregate figure provided by user); CALIBRATED (position- or sub-period-level figure fit to reconcile with a CONFIRMED aggregate). This report uses SOURCED figures only; no CALIBRATED inputs. IPS hard limits checked post-recommendation: single position ≤7.0%, sector ≤35.0%, cash 10.0–20.0%, no leverage / options / shorts.</w:t>
      </w:r>
    </w:p>
    <w:p>
      <w:r>
        <w:rPr>
          <w:rFonts w:ascii="Calibri" w:hAnsi="Calibri" w:cs="Calibri"/>
          <w:b w:val="0"/>
          <w:i/>
          <w:color w:val="777777"/>
          <w:sz w:val="16"/>
        </w:rPr>
        <w:t>Disclaimer: This report is generated for internal portfolio-management purposes for the WM Growth Portfolio client. All figures are SOURCED at write time on May 14, 2026. Past performance is not indicative of future results. Analyst price targets are summaries of public broker research and do not constitute solicitations.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