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F4E79"/>
          <w:sz w:val="36"/>
        </w:rPr>
        <w:t>DAILY PRE-MARKET PORTFOLIO REPORT</w:t>
      </w:r>
    </w:p>
    <w:p>
      <w:pPr>
        <w:jc w:val="center"/>
      </w:pPr>
      <w:r>
        <w:rPr>
          <w:rFonts w:ascii="Calibri" w:hAnsi="Calibri"/>
          <w:i/>
          <w:sz w:val="22"/>
        </w:rPr>
        <w:t>Long-Term Growth Portfolio  |  Active Wealth Management</w:t>
      </w:r>
    </w:p>
    <w:p>
      <w:pPr>
        <w:jc w:val="center"/>
      </w:pPr>
      <w:r>
        <w:rPr>
          <w:rFonts w:ascii="Calibri" w:hAnsi="Calibri"/>
          <w:color w:val="555555"/>
          <w:sz w:val="20"/>
        </w:rPr>
        <w:t>Report Date: Friday, May 15, 2026  |  Benchmark: S&amp;P 500  |  Horizon: Long-Term Growth</w:t>
      </w:r>
    </w:p>
    <w:p>
      <w:pPr>
        <w:spacing w:before="160" w:after="80"/>
      </w:pPr>
      <w:r>
        <w:rPr>
          <w:rFonts w:ascii="Calibri" w:hAnsi="Calibri"/>
          <w:b/>
          <w:color w:val="365F91"/>
          <w:sz w:val="28"/>
        </w:rPr>
        <w:t>1. Market Snapshot — Pre-Market / Macro</w:t>
      </w:r>
    </w:p>
    <w:tbl>
      <w:tblPr>
        <w:tblW w:type="auto" w:w="0"/>
        <w:jc w:val="left"/>
        <w:tblLook w:firstColumn="1" w:firstRow="1" w:lastColumn="0" w:lastRow="0" w:noHBand="0" w:noVBand="1" w:val="04A0"/>
      </w:tblPr>
      <w:tblGrid>
        <w:gridCol w:w="2484"/>
        <w:gridCol w:w="2484"/>
        <w:gridCol w:w="2484"/>
        <w:gridCol w:w="2484"/>
      </w:tblGrid>
      <w:tr>
        <w:tc>
          <w:tcPr>
            <w:tcW w:type="dxa" w:w="2160"/>
            <w:shd w:fill="1F4E79" w:val="clear"/>
            <w:tcBorders>
              <w:top w:val="single" w:sz="4" w:color="BFBFBF"/>
              <w:left w:val="single" w:sz="4" w:color="BFBFBF"/>
              <w:bottom w:val="single" w:sz="4" w:color="BFBFBF"/>
              <w:right w:val="single" w:sz="4" w:color="BFBFBF"/>
            </w:tcBorders>
            <w:vAlign w:val="center"/>
          </w:tcPr>
          <w:p>
            <w:pPr>
              <w:jc w:val="left"/>
            </w:pPr>
            <w:r>
              <w:rPr>
                <w:rFonts w:ascii="Calibri" w:hAnsi="Calibri"/>
                <w:b/>
                <w:color w:val="FFFFFF"/>
                <w:sz w:val="20"/>
              </w:rPr>
              <w:t>Instrument</w:t>
            </w:r>
          </w:p>
        </w:tc>
        <w:tc>
          <w:tcPr>
            <w:tcW w:type="dxa" w:w="2016"/>
            <w:shd w:fill="1F4E79" w:val="clear"/>
            <w:tcBorders>
              <w:top w:val="single" w:sz="4" w:color="BFBFBF"/>
              <w:left w:val="single" w:sz="4" w:color="BFBFBF"/>
              <w:bottom w:val="single" w:sz="4" w:color="BFBFBF"/>
              <w:right w:val="single" w:sz="4" w:color="BFBFBF"/>
            </w:tcBorders>
            <w:vAlign w:val="center"/>
          </w:tcPr>
          <w:p>
            <w:pPr>
              <w:jc w:val="left"/>
            </w:pPr>
            <w:r>
              <w:rPr>
                <w:rFonts w:ascii="Calibri" w:hAnsi="Calibri"/>
                <w:b/>
                <w:color w:val="FFFFFF"/>
                <w:sz w:val="20"/>
              </w:rPr>
              <w:t>Level</w:t>
            </w:r>
          </w:p>
        </w:tc>
        <w:tc>
          <w:tcPr>
            <w:tcW w:type="dxa" w:w="3456"/>
            <w:shd w:fill="1F4E79" w:val="clear"/>
            <w:tcBorders>
              <w:top w:val="single" w:sz="4" w:color="BFBFBF"/>
              <w:left w:val="single" w:sz="4" w:color="BFBFBF"/>
              <w:bottom w:val="single" w:sz="4" w:color="BFBFBF"/>
              <w:right w:val="single" w:sz="4" w:color="BFBFBF"/>
            </w:tcBorders>
            <w:vAlign w:val="center"/>
          </w:tcPr>
          <w:p>
            <w:pPr>
              <w:jc w:val="left"/>
            </w:pPr>
            <w:r>
              <w:rPr>
                <w:rFonts w:ascii="Calibri" w:hAnsi="Calibri"/>
                <w:b/>
                <w:color w:val="FFFFFF"/>
                <w:sz w:val="20"/>
              </w:rPr>
              <w:t>Change</w:t>
            </w:r>
          </w:p>
        </w:tc>
        <w:tc>
          <w:tcPr>
            <w:tcW w:type="dxa" w:w="1296"/>
            <w:shd w:fill="1F4E79" w:val="clear"/>
            <w:tcBorders>
              <w:top w:val="single" w:sz="4" w:color="BFBFBF"/>
              <w:left w:val="single" w:sz="4" w:color="BFBFBF"/>
              <w:bottom w:val="single" w:sz="4" w:color="BFBFBF"/>
              <w:right w:val="single" w:sz="4" w:color="BFBFBF"/>
            </w:tcBorders>
            <w:vAlign w:val="center"/>
          </w:tcPr>
          <w:p>
            <w:pPr>
              <w:jc w:val="left"/>
            </w:pPr>
            <w:r>
              <w:rPr>
                <w:rFonts w:ascii="Calibri" w:hAnsi="Calibri"/>
                <w:b/>
                <w:color w:val="FFFFFF"/>
                <w:sz w:val="20"/>
              </w:rPr>
              <w:t>Tag</w:t>
            </w:r>
          </w:p>
        </w:tc>
      </w:tr>
      <w:tr>
        <w:tc>
          <w:tcPr>
            <w:tcW w:type="dxa" w:w="2160"/>
            <w:tcBorders>
              <w:top w:val="single" w:sz="4" w:color="BFBFBF"/>
              <w:left w:val="single" w:sz="4" w:color="BFBFBF"/>
              <w:bottom w:val="single" w:sz="4" w:color="BFBFBF"/>
              <w:right w:val="single" w:sz="4" w:color="BFBFBF"/>
            </w:tcBorders>
            <w:vAlign w:val="top"/>
          </w:tcPr>
          <w:p>
            <w:r>
              <w:rPr>
                <w:rFonts w:ascii="Calibri" w:hAnsi="Calibri"/>
                <w:sz w:val="18"/>
              </w:rPr>
              <w:t>S&amp;P 500 e-minis</w:t>
            </w:r>
          </w:p>
        </w:tc>
        <w:tc>
          <w:tcPr>
            <w:tcW w:type="dxa" w:w="2016"/>
            <w:tcBorders>
              <w:top w:val="single" w:sz="4" w:color="BFBFBF"/>
              <w:left w:val="single" w:sz="4" w:color="BFBFBF"/>
              <w:bottom w:val="single" w:sz="4" w:color="BFBFBF"/>
              <w:right w:val="single" w:sz="4" w:color="BFBFBF"/>
            </w:tcBorders>
            <w:vAlign w:val="top"/>
          </w:tcPr>
          <w:p>
            <w:r>
              <w:rPr>
                <w:rFonts w:ascii="Calibri" w:hAnsi="Calibri"/>
                <w:sz w:val="18"/>
              </w:rPr>
              <w:t>—</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−0.37%</w:t>
            </w:r>
          </w:p>
        </w:tc>
        <w:tc>
          <w:tcPr>
            <w:tcW w:type="dxa" w:w="1296"/>
            <w:tcBorders>
              <w:top w:val="single" w:sz="4" w:color="BFBFBF"/>
              <w:left w:val="single" w:sz="4" w:color="BFBFBF"/>
              <w:bottom w:val="single" w:sz="4" w:color="BFBFBF"/>
              <w:right w:val="single" w:sz="4" w:color="BFBFBF"/>
            </w:tcBorders>
            <w:vAlign w:val="top"/>
          </w:tcPr>
          <w:p>
            <w:r>
              <w:rPr>
                <w:rFonts w:ascii="Calibri" w:hAnsi="Calibri"/>
                <w:sz w:val="18"/>
              </w:rPr>
              <w:t>SOURCED</w:t>
            </w:r>
          </w:p>
        </w:tc>
      </w:tr>
      <w:tr>
        <w:tc>
          <w:tcPr>
            <w:tcW w:type="dxa" w:w="2160"/>
            <w:tcBorders>
              <w:top w:val="single" w:sz="4" w:color="BFBFBF"/>
              <w:left w:val="single" w:sz="4" w:color="BFBFBF"/>
              <w:bottom w:val="single" w:sz="4" w:color="BFBFBF"/>
              <w:right w:val="single" w:sz="4" w:color="BFBFBF"/>
            </w:tcBorders>
            <w:vAlign w:val="top"/>
          </w:tcPr>
          <w:p>
            <w:r>
              <w:rPr>
                <w:rFonts w:ascii="Calibri" w:hAnsi="Calibri"/>
                <w:sz w:val="18"/>
              </w:rPr>
              <w:t>Nasdaq 100 e-minis</w:t>
            </w:r>
          </w:p>
        </w:tc>
        <w:tc>
          <w:tcPr>
            <w:tcW w:type="dxa" w:w="2016"/>
            <w:tcBorders>
              <w:top w:val="single" w:sz="4" w:color="BFBFBF"/>
              <w:left w:val="single" w:sz="4" w:color="BFBFBF"/>
              <w:bottom w:val="single" w:sz="4" w:color="BFBFBF"/>
              <w:right w:val="single" w:sz="4" w:color="BFBFBF"/>
            </w:tcBorders>
            <w:vAlign w:val="top"/>
          </w:tcPr>
          <w:p>
            <w:r>
              <w:rPr>
                <w:rFonts w:ascii="Calibri" w:hAnsi="Calibri"/>
                <w:sz w:val="18"/>
              </w:rPr>
              <w:t>—</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Off, tech pause</w:t>
            </w:r>
          </w:p>
        </w:tc>
        <w:tc>
          <w:tcPr>
            <w:tcW w:type="dxa" w:w="1296"/>
            <w:tcBorders>
              <w:top w:val="single" w:sz="4" w:color="BFBFBF"/>
              <w:left w:val="single" w:sz="4" w:color="BFBFBF"/>
              <w:bottom w:val="single" w:sz="4" w:color="BFBFBF"/>
              <w:right w:val="single" w:sz="4" w:color="BFBFBF"/>
            </w:tcBorders>
            <w:vAlign w:val="top"/>
          </w:tcPr>
          <w:p>
            <w:r>
              <w:rPr>
                <w:rFonts w:ascii="Calibri" w:hAnsi="Calibri"/>
                <w:sz w:val="18"/>
              </w:rPr>
              <w:t>SOURCED</w:t>
            </w:r>
          </w:p>
        </w:tc>
      </w:tr>
      <w:tr>
        <w:tc>
          <w:tcPr>
            <w:tcW w:type="dxa" w:w="2160"/>
            <w:tcBorders>
              <w:top w:val="single" w:sz="4" w:color="BFBFBF"/>
              <w:left w:val="single" w:sz="4" w:color="BFBFBF"/>
              <w:bottom w:val="single" w:sz="4" w:color="BFBFBF"/>
              <w:right w:val="single" w:sz="4" w:color="BFBFBF"/>
            </w:tcBorders>
            <w:vAlign w:val="top"/>
          </w:tcPr>
          <w:p>
            <w:r>
              <w:rPr>
                <w:rFonts w:ascii="Calibri" w:hAnsi="Calibri"/>
                <w:sz w:val="18"/>
              </w:rPr>
              <w:t>Dow futures</w:t>
            </w:r>
          </w:p>
        </w:tc>
        <w:tc>
          <w:tcPr>
            <w:tcW w:type="dxa" w:w="2016"/>
            <w:tcBorders>
              <w:top w:val="single" w:sz="4" w:color="BFBFBF"/>
              <w:left w:val="single" w:sz="4" w:color="BFBFBF"/>
              <w:bottom w:val="single" w:sz="4" w:color="BFBFBF"/>
              <w:right w:val="single" w:sz="4" w:color="BFBFBF"/>
            </w:tcBorders>
            <w:vAlign w:val="top"/>
          </w:tcPr>
          <w:p>
            <w:r>
              <w:rPr>
                <w:rFonts w:ascii="Calibri" w:hAnsi="Calibri"/>
                <w:sz w:val="18"/>
              </w:rPr>
              <w:t>—</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Modestly weaker</w:t>
            </w:r>
          </w:p>
        </w:tc>
        <w:tc>
          <w:tcPr>
            <w:tcW w:type="dxa" w:w="1296"/>
            <w:tcBorders>
              <w:top w:val="single" w:sz="4" w:color="BFBFBF"/>
              <w:left w:val="single" w:sz="4" w:color="BFBFBF"/>
              <w:bottom w:val="single" w:sz="4" w:color="BFBFBF"/>
              <w:right w:val="single" w:sz="4" w:color="BFBFBF"/>
            </w:tcBorders>
            <w:vAlign w:val="top"/>
          </w:tcPr>
          <w:p>
            <w:r>
              <w:rPr>
                <w:rFonts w:ascii="Calibri" w:hAnsi="Calibri"/>
                <w:sz w:val="18"/>
              </w:rPr>
              <w:t>SOURCED</w:t>
            </w:r>
          </w:p>
        </w:tc>
      </w:tr>
      <w:tr>
        <w:tc>
          <w:tcPr>
            <w:tcW w:type="dxa" w:w="2160"/>
            <w:tcBorders>
              <w:top w:val="single" w:sz="4" w:color="BFBFBF"/>
              <w:left w:val="single" w:sz="4" w:color="BFBFBF"/>
              <w:bottom w:val="single" w:sz="4" w:color="BFBFBF"/>
              <w:right w:val="single" w:sz="4" w:color="BFBFBF"/>
            </w:tcBorders>
            <w:vAlign w:val="top"/>
          </w:tcPr>
          <w:p>
            <w:r>
              <w:rPr>
                <w:rFonts w:ascii="Calibri" w:hAnsi="Calibri"/>
                <w:sz w:val="18"/>
              </w:rPr>
              <w:t>Thu 5/14 close</w:t>
            </w:r>
          </w:p>
        </w:tc>
        <w:tc>
          <w:tcPr>
            <w:tcW w:type="dxa" w:w="2016"/>
            <w:tcBorders>
              <w:top w:val="single" w:sz="4" w:color="BFBFBF"/>
              <w:left w:val="single" w:sz="4" w:color="BFBFBF"/>
              <w:bottom w:val="single" w:sz="4" w:color="BFBFBF"/>
              <w:right w:val="single" w:sz="4" w:color="BFBFBF"/>
            </w:tcBorders>
            <w:vAlign w:val="top"/>
          </w:tcPr>
          <w:p>
            <w:r>
              <w:rPr>
                <w:rFonts w:ascii="Calibri" w:hAnsi="Calibri"/>
                <w:sz w:val="18"/>
              </w:rPr>
              <w:t>S&amp;P 7,501.24 (record, +0.77%)</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Records on tape</w:t>
            </w:r>
          </w:p>
        </w:tc>
        <w:tc>
          <w:tcPr>
            <w:tcW w:type="dxa" w:w="1296"/>
            <w:tcBorders>
              <w:top w:val="single" w:sz="4" w:color="BFBFBF"/>
              <w:left w:val="single" w:sz="4" w:color="BFBFBF"/>
              <w:bottom w:val="single" w:sz="4" w:color="BFBFBF"/>
              <w:right w:val="single" w:sz="4" w:color="BFBFBF"/>
            </w:tcBorders>
            <w:vAlign w:val="top"/>
          </w:tcPr>
          <w:p>
            <w:r>
              <w:rPr>
                <w:rFonts w:ascii="Calibri" w:hAnsi="Calibri"/>
                <w:sz w:val="18"/>
              </w:rPr>
              <w:t>SOURCED</w:t>
            </w:r>
          </w:p>
        </w:tc>
      </w:tr>
      <w:tr>
        <w:tc>
          <w:tcPr>
            <w:tcW w:type="dxa" w:w="2160"/>
            <w:tcBorders>
              <w:top w:val="single" w:sz="4" w:color="BFBFBF"/>
              <w:left w:val="single" w:sz="4" w:color="BFBFBF"/>
              <w:bottom w:val="single" w:sz="4" w:color="BFBFBF"/>
              <w:right w:val="single" w:sz="4" w:color="BFBFBF"/>
            </w:tcBorders>
            <w:vAlign w:val="top"/>
          </w:tcPr>
          <w:p>
            <w:r>
              <w:rPr>
                <w:rFonts w:ascii="Calibri" w:hAnsi="Calibri"/>
                <w:sz w:val="18"/>
              </w:rPr>
              <w:t>NVDA last</w:t>
            </w:r>
          </w:p>
        </w:tc>
        <w:tc>
          <w:tcPr>
            <w:tcW w:type="dxa" w:w="2016"/>
            <w:tcBorders>
              <w:top w:val="single" w:sz="4" w:color="BFBFBF"/>
              <w:left w:val="single" w:sz="4" w:color="BFBFBF"/>
              <w:bottom w:val="single" w:sz="4" w:color="BFBFBF"/>
              <w:right w:val="single" w:sz="4" w:color="BFBFBF"/>
            </w:tcBorders>
            <w:vAlign w:val="top"/>
          </w:tcPr>
          <w:p>
            <w:r>
              <w:rPr>
                <w:rFonts w:ascii="Calibri" w:hAnsi="Calibri"/>
                <w:sz w:val="18"/>
              </w:rPr>
              <w:t>$237.87 (intraday $229.12–$237.96)</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Working higher into May 20 print</w:t>
            </w:r>
          </w:p>
        </w:tc>
        <w:tc>
          <w:tcPr>
            <w:tcW w:type="dxa" w:w="1296"/>
            <w:tcBorders>
              <w:top w:val="single" w:sz="4" w:color="BFBFBF"/>
              <w:left w:val="single" w:sz="4" w:color="BFBFBF"/>
              <w:bottom w:val="single" w:sz="4" w:color="BFBFBF"/>
              <w:right w:val="single" w:sz="4" w:color="BFBFBF"/>
            </w:tcBorders>
            <w:vAlign w:val="top"/>
          </w:tcPr>
          <w:p>
            <w:r>
              <w:rPr>
                <w:rFonts w:ascii="Calibri" w:hAnsi="Calibri"/>
                <w:sz w:val="18"/>
              </w:rPr>
              <w:t>SOURCED</w:t>
            </w:r>
          </w:p>
        </w:tc>
      </w:tr>
      <w:tr>
        <w:tc>
          <w:tcPr>
            <w:tcW w:type="dxa" w:w="2160"/>
            <w:tcBorders>
              <w:top w:val="single" w:sz="4" w:color="BFBFBF"/>
              <w:left w:val="single" w:sz="4" w:color="BFBFBF"/>
              <w:bottom w:val="single" w:sz="4" w:color="BFBFBF"/>
              <w:right w:val="single" w:sz="4" w:color="BFBFBF"/>
            </w:tcBorders>
            <w:vAlign w:val="top"/>
          </w:tcPr>
          <w:p>
            <w:r>
              <w:rPr>
                <w:rFonts w:ascii="Calibri" w:hAnsi="Calibri"/>
                <w:sz w:val="18"/>
              </w:rPr>
              <w:t>WTI / Brent</w:t>
            </w:r>
          </w:p>
        </w:tc>
        <w:tc>
          <w:tcPr>
            <w:tcW w:type="dxa" w:w="2016"/>
            <w:tcBorders>
              <w:top w:val="single" w:sz="4" w:color="BFBFBF"/>
              <w:left w:val="single" w:sz="4" w:color="BFBFBF"/>
              <w:bottom w:val="single" w:sz="4" w:color="BFBFBF"/>
              <w:right w:val="single" w:sz="4" w:color="BFBFBF"/>
            </w:tcBorders>
            <w:vAlign w:val="top"/>
          </w:tcPr>
          <w:p>
            <w:r>
              <w:rPr>
                <w:rFonts w:ascii="Calibri" w:hAnsi="Calibri"/>
                <w:sz w:val="18"/>
              </w:rPr>
              <w:t>≈$101 / ≈$106</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Range-bound below recent highs</w:t>
            </w:r>
          </w:p>
        </w:tc>
        <w:tc>
          <w:tcPr>
            <w:tcW w:type="dxa" w:w="1296"/>
            <w:tcBorders>
              <w:top w:val="single" w:sz="4" w:color="BFBFBF"/>
              <w:left w:val="single" w:sz="4" w:color="BFBFBF"/>
              <w:bottom w:val="single" w:sz="4" w:color="BFBFBF"/>
              <w:right w:val="single" w:sz="4" w:color="BFBFBF"/>
            </w:tcBorders>
            <w:vAlign w:val="top"/>
          </w:tcPr>
          <w:p>
            <w:r>
              <w:rPr>
                <w:rFonts w:ascii="Calibri" w:hAnsi="Calibri"/>
                <w:sz w:val="18"/>
              </w:rPr>
              <w:t>SOURCED</w:t>
            </w:r>
          </w:p>
        </w:tc>
      </w:tr>
      <w:tr>
        <w:tc>
          <w:tcPr>
            <w:tcW w:type="dxa" w:w="2160"/>
            <w:tcBorders>
              <w:top w:val="single" w:sz="4" w:color="BFBFBF"/>
              <w:left w:val="single" w:sz="4" w:color="BFBFBF"/>
              <w:bottom w:val="single" w:sz="4" w:color="BFBFBF"/>
              <w:right w:val="single" w:sz="4" w:color="BFBFBF"/>
            </w:tcBorders>
            <w:vAlign w:val="top"/>
          </w:tcPr>
          <w:p>
            <w:r>
              <w:rPr>
                <w:rFonts w:ascii="Calibri" w:hAnsi="Calibri"/>
                <w:sz w:val="18"/>
              </w:rPr>
              <w:t>Polymarket Fri open</w:t>
            </w:r>
          </w:p>
        </w:tc>
        <w:tc>
          <w:tcPr>
            <w:tcW w:type="dxa" w:w="2016"/>
            <w:tcBorders>
              <w:top w:val="single" w:sz="4" w:color="BFBFBF"/>
              <w:left w:val="single" w:sz="4" w:color="BFBFBF"/>
              <w:bottom w:val="single" w:sz="4" w:color="BFBFBF"/>
              <w:right w:val="single" w:sz="4" w:color="BFBFBF"/>
            </w:tcBorders>
            <w:vAlign w:val="top"/>
          </w:tcPr>
          <w:p>
            <w:r>
              <w:rPr>
                <w:rFonts w:ascii="Calibri" w:hAnsi="Calibri"/>
                <w:sz w:val="18"/>
              </w:rPr>
              <w:t>99% lower open</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Bearish skew priced</w:t>
            </w:r>
          </w:p>
        </w:tc>
        <w:tc>
          <w:tcPr>
            <w:tcW w:type="dxa" w:w="1296"/>
            <w:tcBorders>
              <w:top w:val="single" w:sz="4" w:color="BFBFBF"/>
              <w:left w:val="single" w:sz="4" w:color="BFBFBF"/>
              <w:bottom w:val="single" w:sz="4" w:color="BFBFBF"/>
              <w:right w:val="single" w:sz="4" w:color="BFBFBF"/>
            </w:tcBorders>
            <w:vAlign w:val="top"/>
          </w:tcPr>
          <w:p>
            <w:r>
              <w:rPr>
                <w:rFonts w:ascii="Calibri" w:hAnsi="Calibri"/>
                <w:sz w:val="18"/>
              </w:rPr>
              <w:t>SOURCED</w:t>
            </w:r>
          </w:p>
        </w:tc>
      </w:tr>
    </w:tbl>
    <w:p>
      <w:pPr>
        <w:spacing w:after="80"/>
      </w:pPr>
      <w:r>
        <w:rPr>
          <w:rFonts w:ascii="Calibri" w:hAnsi="Calibri"/>
          <w:b w:val="0"/>
          <w:i w:val="0"/>
          <w:sz w:val="20"/>
        </w:rPr>
        <w:t>Macro lens. After a week dominated by hot data (CPI +3.8% y/y Tue; PPI +1.4% m/m / +6.0% y/y Wed) and Warsh's confirmation as Fed Chair (54-45 Wed), the tape closed Thursday at fresh S&amp;P 500 and Nasdaq records (S&amp;P 7,501.24, +0.77%). Friday opens defensive — futures -0.37% and Polymarket pricing a 99% lower open — as Trump concludes his Beijing trip with a confirmed 200-jet Boeing order from China and an open NVDA H200 export path. NVDA Q1 fiscal 2027 print Wednesday May 20 AMC is the next major catalyst. Posture remains reactive at the 15.0% cash floor.</w:t>
      </w:r>
    </w:p>
    <w:p>
      <w:pPr>
        <w:spacing w:before="160" w:after="80"/>
      </w:pPr>
      <w:r>
        <w:rPr>
          <w:rFonts w:ascii="Calibri" w:hAnsi="Calibri"/>
          <w:b/>
          <w:color w:val="365F91"/>
          <w:sz w:val="28"/>
        </w:rPr>
        <w:t>2. Scan 1 — Holdings Review (Affected Names)</w:t>
      </w:r>
    </w:p>
    <w:tbl>
      <w:tblPr>
        <w:tblW w:type="auto" w:w="0"/>
        <w:jc w:val="left"/>
        <w:tblLook w:firstColumn="1" w:firstRow="1" w:lastColumn="0" w:lastRow="0" w:noHBand="0" w:noVBand="1" w:val="04A0"/>
      </w:tblPr>
      <w:tblGrid>
        <w:gridCol w:w="2484"/>
        <w:gridCol w:w="2484"/>
        <w:gridCol w:w="2484"/>
        <w:gridCol w:w="2484"/>
      </w:tblGrid>
      <w:tr>
        <w:tc>
          <w:tcPr>
            <w:tcW w:type="dxa" w:w="1872"/>
            <w:shd w:fill="1F4E79" w:val="clear"/>
            <w:tcBorders>
              <w:top w:val="single" w:sz="4" w:color="BFBFBF"/>
              <w:left w:val="single" w:sz="4" w:color="BFBFBF"/>
              <w:bottom w:val="single" w:sz="4" w:color="BFBFBF"/>
              <w:right w:val="single" w:sz="4" w:color="BFBFBF"/>
            </w:tcBorders>
            <w:vAlign w:val="center"/>
          </w:tcPr>
          <w:p>
            <w:pPr>
              <w:jc w:val="left"/>
            </w:pPr>
            <w:r>
              <w:rPr>
                <w:rFonts w:ascii="Calibri" w:hAnsi="Calibri"/>
                <w:b/>
                <w:color w:val="FFFFFF"/>
                <w:sz w:val="20"/>
              </w:rPr>
              <w:t>Ticker</w:t>
            </w:r>
          </w:p>
        </w:tc>
        <w:tc>
          <w:tcPr>
            <w:tcW w:type="dxa" w:w="864"/>
            <w:shd w:fill="1F4E79" w:val="clear"/>
            <w:tcBorders>
              <w:top w:val="single" w:sz="4" w:color="BFBFBF"/>
              <w:left w:val="single" w:sz="4" w:color="BFBFBF"/>
              <w:bottom w:val="single" w:sz="4" w:color="BFBFBF"/>
              <w:right w:val="single" w:sz="4" w:color="BFBFBF"/>
            </w:tcBorders>
            <w:vAlign w:val="center"/>
          </w:tcPr>
          <w:p>
            <w:pPr>
              <w:jc w:val="left"/>
            </w:pPr>
            <w:r>
              <w:rPr>
                <w:rFonts w:ascii="Calibri" w:hAnsi="Calibri"/>
                <w:b/>
                <w:color w:val="FFFFFF"/>
                <w:sz w:val="20"/>
              </w:rPr>
              <w:t>Wt</w:t>
            </w:r>
          </w:p>
        </w:tc>
        <w:tc>
          <w:tcPr>
            <w:tcW w:type="dxa" w:w="5040"/>
            <w:shd w:fill="1F4E79" w:val="clear"/>
            <w:tcBorders>
              <w:top w:val="single" w:sz="4" w:color="BFBFBF"/>
              <w:left w:val="single" w:sz="4" w:color="BFBFBF"/>
              <w:bottom w:val="single" w:sz="4" w:color="BFBFBF"/>
              <w:right w:val="single" w:sz="4" w:color="BFBFBF"/>
            </w:tcBorders>
            <w:vAlign w:val="center"/>
          </w:tcPr>
          <w:p>
            <w:pPr>
              <w:jc w:val="left"/>
            </w:pPr>
            <w:r>
              <w:rPr>
                <w:rFonts w:ascii="Calibri" w:hAnsi="Calibri"/>
                <w:b/>
                <w:color w:val="FFFFFF"/>
                <w:sz w:val="20"/>
              </w:rPr>
              <w:t>Catalyst / Read-Through</w:t>
            </w:r>
          </w:p>
        </w:tc>
        <w:tc>
          <w:tcPr>
            <w:tcW w:type="dxa" w:w="2448"/>
            <w:shd w:fill="1F4E79" w:val="clear"/>
            <w:tcBorders>
              <w:top w:val="single" w:sz="4" w:color="BFBFBF"/>
              <w:left w:val="single" w:sz="4" w:color="BFBFBF"/>
              <w:bottom w:val="single" w:sz="4" w:color="BFBFBF"/>
              <w:right w:val="single" w:sz="4" w:color="BFBFBF"/>
            </w:tcBorders>
            <w:vAlign w:val="center"/>
          </w:tcPr>
          <w:p>
            <w:pPr>
              <w:jc w:val="left"/>
            </w:pPr>
            <w:r>
              <w:rPr>
                <w:rFonts w:ascii="Calibri" w:hAnsi="Calibri"/>
                <w:b/>
                <w:color w:val="FFFFFF"/>
                <w:sz w:val="20"/>
              </w:rPr>
              <w:t>Action</w:t>
            </w:r>
          </w:p>
        </w:tc>
      </w:tr>
      <w:tr>
        <w:tc>
          <w:tcPr>
            <w:tcW w:type="dxa" w:w="1872"/>
            <w:tcBorders>
              <w:top w:val="single" w:sz="4" w:color="BFBFBF"/>
              <w:left w:val="single" w:sz="4" w:color="BFBFBF"/>
              <w:bottom w:val="single" w:sz="4" w:color="BFBFBF"/>
              <w:right w:val="single" w:sz="4" w:color="BFBFBF"/>
            </w:tcBorders>
            <w:vAlign w:val="top"/>
          </w:tcPr>
          <w:p>
            <w:r>
              <w:rPr>
                <w:rFonts w:ascii="Calibri" w:hAnsi="Calibri"/>
                <w:sz w:val="18"/>
              </w:rPr>
              <w:t>NVDA</w:t>
            </w:r>
          </w:p>
        </w:tc>
        <w:tc>
          <w:tcPr>
            <w:tcW w:type="dxa" w:w="864"/>
            <w:tcBorders>
              <w:top w:val="single" w:sz="4" w:color="BFBFBF"/>
              <w:left w:val="single" w:sz="4" w:color="BFBFBF"/>
              <w:bottom w:val="single" w:sz="4" w:color="BFBFBF"/>
              <w:right w:val="single" w:sz="4" w:color="BFBFBF"/>
            </w:tcBorders>
            <w:vAlign w:val="top"/>
          </w:tcPr>
          <w:p>
            <w:r>
              <w:rPr>
                <w:rFonts w:ascii="Calibri" w:hAnsi="Calibri"/>
                <w:sz w:val="18"/>
              </w:rPr>
              <w:t>6.5%</w:t>
            </w:r>
          </w:p>
        </w:tc>
        <w:tc>
          <w:tcPr>
            <w:tcW w:type="dxa" w:w="5040"/>
            <w:tcBorders>
              <w:top w:val="single" w:sz="4" w:color="BFBFBF"/>
              <w:left w:val="single" w:sz="4" w:color="BFBFBF"/>
              <w:bottom w:val="single" w:sz="4" w:color="BFBFBF"/>
              <w:right w:val="single" w:sz="4" w:color="BFBFBF"/>
            </w:tcBorders>
            <w:vAlign w:val="top"/>
          </w:tcPr>
          <w:p>
            <w:r>
              <w:rPr>
                <w:rFonts w:ascii="Calibri" w:hAnsi="Calibri"/>
                <w:sz w:val="18"/>
              </w:rPr>
              <w:t>$237.87 last; +3.8% off intraday low. Beijing trip concluded with H200 path open; Q1 print May 20 AMC (cons rev $78.98B +79%; EPS $1.78).</w:t>
            </w:r>
          </w:p>
        </w:tc>
        <w:tc>
          <w:tcPr>
            <w:tcW w:type="dxa" w:w="2448"/>
            <w:tcBorders>
              <w:top w:val="single" w:sz="4" w:color="BFBFBF"/>
              <w:left w:val="single" w:sz="4" w:color="BFBFBF"/>
              <w:bottom w:val="single" w:sz="4" w:color="BFBFBF"/>
              <w:right w:val="single" w:sz="4" w:color="BFBFBF"/>
            </w:tcBorders>
            <w:vAlign w:val="top"/>
          </w:tcPr>
          <w:p>
            <w:r>
              <w:rPr>
                <w:rFonts w:ascii="Calibri" w:hAnsi="Calibri"/>
                <w:sz w:val="18"/>
              </w:rPr>
              <w:t>HOLD 6.5% — at cap</w:t>
            </w:r>
          </w:p>
        </w:tc>
      </w:tr>
      <w:tr>
        <w:tc>
          <w:tcPr>
            <w:tcW w:type="dxa" w:w="1872"/>
            <w:tcBorders>
              <w:top w:val="single" w:sz="4" w:color="BFBFBF"/>
              <w:left w:val="single" w:sz="4" w:color="BFBFBF"/>
              <w:bottom w:val="single" w:sz="4" w:color="BFBFBF"/>
              <w:right w:val="single" w:sz="4" w:color="BFBFBF"/>
            </w:tcBorders>
            <w:vAlign w:val="top"/>
          </w:tcPr>
          <w:p>
            <w:r>
              <w:rPr>
                <w:rFonts w:ascii="Calibri" w:hAnsi="Calibri"/>
                <w:sz w:val="18"/>
              </w:rPr>
              <w:t>AVGO / MSFT / ORCL / PANW</w:t>
            </w:r>
          </w:p>
        </w:tc>
        <w:tc>
          <w:tcPr>
            <w:tcW w:type="dxa" w:w="864"/>
            <w:tcBorders>
              <w:top w:val="single" w:sz="4" w:color="BFBFBF"/>
              <w:left w:val="single" w:sz="4" w:color="BFBFBF"/>
              <w:bottom w:val="single" w:sz="4" w:color="BFBFBF"/>
              <w:right w:val="single" w:sz="4" w:color="BFBFBF"/>
            </w:tcBorders>
            <w:vAlign w:val="top"/>
          </w:tcPr>
          <w:p>
            <w:r>
              <w:rPr>
                <w:rFonts w:ascii="Calibri" w:hAnsi="Calibri"/>
                <w:sz w:val="18"/>
              </w:rPr>
              <w:t>4.0 / 4.0 / 3.0 / 4.0%</w:t>
            </w:r>
          </w:p>
        </w:tc>
        <w:tc>
          <w:tcPr>
            <w:tcW w:type="dxa" w:w="5040"/>
            <w:tcBorders>
              <w:top w:val="single" w:sz="4" w:color="BFBFBF"/>
              <w:left w:val="single" w:sz="4" w:color="BFBFBF"/>
              <w:bottom w:val="single" w:sz="4" w:color="BFBFBF"/>
              <w:right w:val="single" w:sz="4" w:color="BFBFBF"/>
            </w:tcBorders>
            <w:vAlign w:val="top"/>
          </w:tcPr>
          <w:p>
            <w:r>
              <w:rPr>
                <w:rFonts w:ascii="Calibri" w:hAnsi="Calibri"/>
                <w:sz w:val="18"/>
              </w:rPr>
              <w:t>CSCO +17% AH Wed continues to bid AI-infra complex. Hyperscaler capex framing remains constructive into NVDA print.</w:t>
            </w:r>
          </w:p>
        </w:tc>
        <w:tc>
          <w:tcPr>
            <w:tcW w:type="dxa" w:w="2448"/>
            <w:tcBorders>
              <w:top w:val="single" w:sz="4" w:color="BFBFBF"/>
              <w:left w:val="single" w:sz="4" w:color="BFBFBF"/>
              <w:bottom w:val="single" w:sz="4" w:color="BFBFBF"/>
              <w:right w:val="single" w:sz="4" w:color="BFBFBF"/>
            </w:tcBorders>
            <w:vAlign w:val="top"/>
          </w:tcPr>
          <w:p>
            <w:r>
              <w:rPr>
                <w:rFonts w:ascii="Calibri" w:hAnsi="Calibri"/>
                <w:sz w:val="18"/>
              </w:rPr>
              <w:t>HOLD all — thesis intact</w:t>
            </w:r>
          </w:p>
        </w:tc>
      </w:tr>
      <w:tr>
        <w:tc>
          <w:tcPr>
            <w:tcW w:type="dxa" w:w="1872"/>
            <w:tcBorders>
              <w:top w:val="single" w:sz="4" w:color="BFBFBF"/>
              <w:left w:val="single" w:sz="4" w:color="BFBFBF"/>
              <w:bottom w:val="single" w:sz="4" w:color="BFBFBF"/>
              <w:right w:val="single" w:sz="4" w:color="BFBFBF"/>
            </w:tcBorders>
            <w:vAlign w:val="top"/>
          </w:tcPr>
          <w:p>
            <w:r>
              <w:rPr>
                <w:rFonts w:ascii="Calibri" w:hAnsi="Calibri"/>
                <w:sz w:val="18"/>
              </w:rPr>
              <w:t>MU / TSM</w:t>
            </w:r>
          </w:p>
        </w:tc>
        <w:tc>
          <w:tcPr>
            <w:tcW w:type="dxa" w:w="864"/>
            <w:tcBorders>
              <w:top w:val="single" w:sz="4" w:color="BFBFBF"/>
              <w:left w:val="single" w:sz="4" w:color="BFBFBF"/>
              <w:bottom w:val="single" w:sz="4" w:color="BFBFBF"/>
              <w:right w:val="single" w:sz="4" w:color="BFBFBF"/>
            </w:tcBorders>
            <w:vAlign w:val="top"/>
          </w:tcPr>
          <w:p>
            <w:r>
              <w:rPr>
                <w:rFonts w:ascii="Calibri" w:hAnsi="Calibri"/>
                <w:sz w:val="18"/>
              </w:rPr>
              <w:t>2.5 / 3.0%</w:t>
            </w:r>
          </w:p>
        </w:tc>
        <w:tc>
          <w:tcPr>
            <w:tcW w:type="dxa" w:w="5040"/>
            <w:tcBorders>
              <w:top w:val="single" w:sz="4" w:color="BFBFBF"/>
              <w:left w:val="single" w:sz="4" w:color="BFBFBF"/>
              <w:bottom w:val="single" w:sz="4" w:color="BFBFBF"/>
              <w:right w:val="single" w:sz="4" w:color="BFBFBF"/>
            </w:tcBorders>
            <w:vAlign w:val="top"/>
          </w:tcPr>
          <w:p>
            <w:r>
              <w:rPr>
                <w:rFonts w:ascii="Calibri" w:hAnsi="Calibri"/>
                <w:sz w:val="18"/>
              </w:rPr>
              <w:t>Memory + foundry positive read from CSCO + Beijing summit conclusion. No add capacity.</w:t>
            </w:r>
          </w:p>
        </w:tc>
        <w:tc>
          <w:tcPr>
            <w:tcW w:type="dxa" w:w="2448"/>
            <w:tcBorders>
              <w:top w:val="single" w:sz="4" w:color="BFBFBF"/>
              <w:left w:val="single" w:sz="4" w:color="BFBFBF"/>
              <w:bottom w:val="single" w:sz="4" w:color="BFBFBF"/>
              <w:right w:val="single" w:sz="4" w:color="BFBFBF"/>
            </w:tcBorders>
            <w:vAlign w:val="top"/>
          </w:tcPr>
          <w:p>
            <w:r>
              <w:rPr>
                <w:rFonts w:ascii="Calibri" w:hAnsi="Calibri"/>
                <w:sz w:val="18"/>
              </w:rPr>
              <w:t>HOLD</w:t>
            </w:r>
          </w:p>
        </w:tc>
      </w:tr>
      <w:tr>
        <w:tc>
          <w:tcPr>
            <w:tcW w:type="dxa" w:w="1872"/>
            <w:tcBorders>
              <w:top w:val="single" w:sz="4" w:color="BFBFBF"/>
              <w:left w:val="single" w:sz="4" w:color="BFBFBF"/>
              <w:bottom w:val="single" w:sz="4" w:color="BFBFBF"/>
              <w:right w:val="single" w:sz="4" w:color="BFBFBF"/>
            </w:tcBorders>
            <w:vAlign w:val="top"/>
          </w:tcPr>
          <w:p>
            <w:r>
              <w:rPr>
                <w:rFonts w:ascii="Calibri" w:hAnsi="Calibri"/>
                <w:sz w:val="18"/>
              </w:rPr>
              <w:t>XOM / EOG</w:t>
            </w:r>
          </w:p>
        </w:tc>
        <w:tc>
          <w:tcPr>
            <w:tcW w:type="dxa" w:w="864"/>
            <w:tcBorders>
              <w:top w:val="single" w:sz="4" w:color="BFBFBF"/>
              <w:left w:val="single" w:sz="4" w:color="BFBFBF"/>
              <w:bottom w:val="single" w:sz="4" w:color="BFBFBF"/>
              <w:right w:val="single" w:sz="4" w:color="BFBFBF"/>
            </w:tcBorders>
            <w:vAlign w:val="top"/>
          </w:tcPr>
          <w:p>
            <w:r>
              <w:rPr>
                <w:rFonts w:ascii="Calibri" w:hAnsi="Calibri"/>
                <w:sz w:val="18"/>
              </w:rPr>
              <w:t>3.0 / 2.5%</w:t>
            </w:r>
          </w:p>
        </w:tc>
        <w:tc>
          <w:tcPr>
            <w:tcW w:type="dxa" w:w="5040"/>
            <w:tcBorders>
              <w:top w:val="single" w:sz="4" w:color="BFBFBF"/>
              <w:left w:val="single" w:sz="4" w:color="BFBFBF"/>
              <w:bottom w:val="single" w:sz="4" w:color="BFBFBF"/>
              <w:right w:val="single" w:sz="4" w:color="BFBFBF"/>
            </w:tcBorders>
            <w:vAlign w:val="top"/>
          </w:tcPr>
          <w:p>
            <w:r>
              <w:rPr>
                <w:rFonts w:ascii="Calibri" w:hAnsi="Calibri"/>
                <w:sz w:val="18"/>
              </w:rPr>
              <w:t>WTI ~$101; Brent ~$106. Iran-deal failure premium intact; PPI energy +7.8% m/m supportive.</w:t>
            </w:r>
          </w:p>
        </w:tc>
        <w:tc>
          <w:tcPr>
            <w:tcW w:type="dxa" w:w="2448"/>
            <w:tcBorders>
              <w:top w:val="single" w:sz="4" w:color="BFBFBF"/>
              <w:left w:val="single" w:sz="4" w:color="BFBFBF"/>
              <w:bottom w:val="single" w:sz="4" w:color="BFBFBF"/>
              <w:right w:val="single" w:sz="4" w:color="BFBFBF"/>
            </w:tcBorders>
            <w:vAlign w:val="top"/>
          </w:tcPr>
          <w:p>
            <w:r>
              <w:rPr>
                <w:rFonts w:ascii="Calibri" w:hAnsi="Calibri"/>
                <w:sz w:val="18"/>
              </w:rPr>
              <w:t>HOLD at rebuilt weights</w:t>
            </w:r>
          </w:p>
        </w:tc>
      </w:tr>
      <w:tr>
        <w:tc>
          <w:tcPr>
            <w:tcW w:type="dxa" w:w="1872"/>
            <w:tcBorders>
              <w:top w:val="single" w:sz="4" w:color="BFBFBF"/>
              <w:left w:val="single" w:sz="4" w:color="BFBFBF"/>
              <w:bottom w:val="single" w:sz="4" w:color="BFBFBF"/>
              <w:right w:val="single" w:sz="4" w:color="BFBFBF"/>
            </w:tcBorders>
            <w:vAlign w:val="top"/>
          </w:tcPr>
          <w:p>
            <w:r>
              <w:rPr>
                <w:rFonts w:ascii="Calibri" w:hAnsi="Calibri"/>
                <w:sz w:val="18"/>
              </w:rPr>
              <w:t>UNH</w:t>
            </w:r>
          </w:p>
        </w:tc>
        <w:tc>
          <w:tcPr>
            <w:tcW w:type="dxa" w:w="864"/>
            <w:tcBorders>
              <w:top w:val="single" w:sz="4" w:color="BFBFBF"/>
              <w:left w:val="single" w:sz="4" w:color="BFBFBF"/>
              <w:bottom w:val="single" w:sz="4" w:color="BFBFBF"/>
              <w:right w:val="single" w:sz="4" w:color="BFBFBF"/>
            </w:tcBorders>
            <w:vAlign w:val="top"/>
          </w:tcPr>
          <w:p>
            <w:r>
              <w:rPr>
                <w:rFonts w:ascii="Calibri" w:hAnsi="Calibri"/>
                <w:sz w:val="18"/>
              </w:rPr>
              <w:t>3.0%</w:t>
            </w:r>
          </w:p>
        </w:tc>
        <w:tc>
          <w:tcPr>
            <w:tcW w:type="dxa" w:w="5040"/>
            <w:tcBorders>
              <w:top w:val="single" w:sz="4" w:color="BFBFBF"/>
              <w:left w:val="single" w:sz="4" w:color="BFBFBF"/>
              <w:bottom w:val="single" w:sz="4" w:color="BFBFBF"/>
              <w:right w:val="single" w:sz="4" w:color="BFBFBF"/>
            </w:tcBorders>
            <w:vAlign w:val="top"/>
          </w:tcPr>
          <w:p>
            <w:r>
              <w:rPr>
                <w:rFonts w:ascii="Calibri" w:hAnsi="Calibri"/>
                <w:sz w:val="18"/>
              </w:rPr>
              <w:t>Carry-value reconciliation FLAG carried into a 6th session. DOJ overhang unchanged.</w:t>
            </w:r>
          </w:p>
        </w:tc>
        <w:tc>
          <w:tcPr>
            <w:tcW w:type="dxa" w:w="2448"/>
            <w:tcBorders>
              <w:top w:val="single" w:sz="4" w:color="BFBFBF"/>
              <w:left w:val="single" w:sz="4" w:color="BFBFBF"/>
              <w:bottom w:val="single" w:sz="4" w:color="BFBFBF"/>
              <w:right w:val="single" w:sz="4" w:color="BFBFBF"/>
            </w:tcBorders>
            <w:vAlign w:val="top"/>
          </w:tcPr>
          <w:p>
            <w:r>
              <w:rPr>
                <w:rFonts w:ascii="Calibri" w:hAnsi="Calibri"/>
                <w:sz w:val="18"/>
              </w:rPr>
              <w:t>HOLD 3.0% — FLAG persists</w:t>
            </w:r>
          </w:p>
        </w:tc>
      </w:tr>
      <w:tr>
        <w:tc>
          <w:tcPr>
            <w:tcW w:type="dxa" w:w="1872"/>
            <w:tcBorders>
              <w:top w:val="single" w:sz="4" w:color="BFBFBF"/>
              <w:left w:val="single" w:sz="4" w:color="BFBFBF"/>
              <w:bottom w:val="single" w:sz="4" w:color="BFBFBF"/>
              <w:right w:val="single" w:sz="4" w:color="BFBFBF"/>
            </w:tcBorders>
            <w:vAlign w:val="top"/>
          </w:tcPr>
          <w:p>
            <w:r>
              <w:rPr>
                <w:rFonts w:ascii="Calibri" w:hAnsi="Calibri"/>
                <w:sz w:val="18"/>
              </w:rPr>
              <w:t>META / GOOGL / NFLX</w:t>
            </w:r>
          </w:p>
        </w:tc>
        <w:tc>
          <w:tcPr>
            <w:tcW w:type="dxa" w:w="864"/>
            <w:tcBorders>
              <w:top w:val="single" w:sz="4" w:color="BFBFBF"/>
              <w:left w:val="single" w:sz="4" w:color="BFBFBF"/>
              <w:bottom w:val="single" w:sz="4" w:color="BFBFBF"/>
              <w:right w:val="single" w:sz="4" w:color="BFBFBF"/>
            </w:tcBorders>
            <w:vAlign w:val="top"/>
          </w:tcPr>
          <w:p>
            <w:r>
              <w:rPr>
                <w:rFonts w:ascii="Calibri" w:hAnsi="Calibri"/>
                <w:sz w:val="18"/>
              </w:rPr>
              <w:t>4.5 / 3.0 / 1.5%</w:t>
            </w:r>
          </w:p>
        </w:tc>
        <w:tc>
          <w:tcPr>
            <w:tcW w:type="dxa" w:w="5040"/>
            <w:tcBorders>
              <w:top w:val="single" w:sz="4" w:color="BFBFBF"/>
              <w:left w:val="single" w:sz="4" w:color="BFBFBF"/>
              <w:bottom w:val="single" w:sz="4" w:color="BFBFBF"/>
              <w:right w:val="single" w:sz="4" w:color="BFBFBF"/>
            </w:tcBorders>
            <w:vAlign w:val="top"/>
          </w:tcPr>
          <w:p>
            <w:r>
              <w:rPr>
                <w:rFonts w:ascii="Calibri" w:hAnsi="Calibri"/>
                <w:sz w:val="18"/>
              </w:rPr>
              <w:t>Comm-Services quiet; no new catalyst.</w:t>
            </w:r>
          </w:p>
        </w:tc>
        <w:tc>
          <w:tcPr>
            <w:tcW w:type="dxa" w:w="2448"/>
            <w:tcBorders>
              <w:top w:val="single" w:sz="4" w:color="BFBFBF"/>
              <w:left w:val="single" w:sz="4" w:color="BFBFBF"/>
              <w:bottom w:val="single" w:sz="4" w:color="BFBFBF"/>
              <w:right w:val="single" w:sz="4" w:color="BFBFBF"/>
            </w:tcBorders>
            <w:vAlign w:val="top"/>
          </w:tcPr>
          <w:p>
            <w:r>
              <w:rPr>
                <w:rFonts w:ascii="Calibri" w:hAnsi="Calibri"/>
                <w:sz w:val="18"/>
              </w:rPr>
              <w:t>HOLD</w:t>
            </w:r>
          </w:p>
        </w:tc>
      </w:tr>
      <w:tr>
        <w:tc>
          <w:tcPr>
            <w:tcW w:type="dxa" w:w="1872"/>
            <w:tcBorders>
              <w:top w:val="single" w:sz="4" w:color="BFBFBF"/>
              <w:left w:val="single" w:sz="4" w:color="BFBFBF"/>
              <w:bottom w:val="single" w:sz="4" w:color="BFBFBF"/>
              <w:right w:val="single" w:sz="4" w:color="BFBFBF"/>
            </w:tcBorders>
            <w:vAlign w:val="top"/>
          </w:tcPr>
          <w:p>
            <w:r>
              <w:rPr>
                <w:rFonts w:ascii="Calibri" w:hAnsi="Calibri"/>
                <w:sz w:val="18"/>
              </w:rPr>
              <w:t>JPM / V</w:t>
            </w:r>
          </w:p>
        </w:tc>
        <w:tc>
          <w:tcPr>
            <w:tcW w:type="dxa" w:w="864"/>
            <w:tcBorders>
              <w:top w:val="single" w:sz="4" w:color="BFBFBF"/>
              <w:left w:val="single" w:sz="4" w:color="BFBFBF"/>
              <w:bottom w:val="single" w:sz="4" w:color="BFBFBF"/>
              <w:right w:val="single" w:sz="4" w:color="BFBFBF"/>
            </w:tcBorders>
            <w:vAlign w:val="top"/>
          </w:tcPr>
          <w:p>
            <w:r>
              <w:rPr>
                <w:rFonts w:ascii="Calibri" w:hAnsi="Calibri"/>
                <w:sz w:val="18"/>
              </w:rPr>
              <w:t>4.5 / 3.0%</w:t>
            </w:r>
          </w:p>
        </w:tc>
        <w:tc>
          <w:tcPr>
            <w:tcW w:type="dxa" w:w="5040"/>
            <w:tcBorders>
              <w:top w:val="single" w:sz="4" w:color="BFBFBF"/>
              <w:left w:val="single" w:sz="4" w:color="BFBFBF"/>
              <w:bottom w:val="single" w:sz="4" w:color="BFBFBF"/>
              <w:right w:val="single" w:sz="4" w:color="BFBFBF"/>
            </w:tcBorders>
            <w:vAlign w:val="top"/>
          </w:tcPr>
          <w:p>
            <w:r>
              <w:rPr>
                <w:rFonts w:ascii="Calibri" w:hAnsi="Calibri"/>
                <w:sz w:val="18"/>
              </w:rPr>
              <w:t>Hot inflation week tightens rate-path optionality; banks digesting yield-curve repricing.</w:t>
            </w:r>
          </w:p>
        </w:tc>
        <w:tc>
          <w:tcPr>
            <w:tcW w:type="dxa" w:w="2448"/>
            <w:tcBorders>
              <w:top w:val="single" w:sz="4" w:color="BFBFBF"/>
              <w:left w:val="single" w:sz="4" w:color="BFBFBF"/>
              <w:bottom w:val="single" w:sz="4" w:color="BFBFBF"/>
              <w:right w:val="single" w:sz="4" w:color="BFBFBF"/>
            </w:tcBorders>
            <w:vAlign w:val="top"/>
          </w:tcPr>
          <w:p>
            <w:r>
              <w:rPr>
                <w:rFonts w:ascii="Calibri" w:hAnsi="Calibri"/>
                <w:sz w:val="18"/>
              </w:rPr>
              <w:t>HOLD</w:t>
            </w:r>
          </w:p>
        </w:tc>
      </w:tr>
      <w:tr>
        <w:tc>
          <w:tcPr>
            <w:tcW w:type="dxa" w:w="1872"/>
            <w:tcBorders>
              <w:top w:val="single" w:sz="4" w:color="BFBFBF"/>
              <w:left w:val="single" w:sz="4" w:color="BFBFBF"/>
              <w:bottom w:val="single" w:sz="4" w:color="BFBFBF"/>
              <w:right w:val="single" w:sz="4" w:color="BFBFBF"/>
            </w:tcBorders>
            <w:vAlign w:val="top"/>
          </w:tcPr>
          <w:p>
            <w:r>
              <w:rPr>
                <w:rFonts w:ascii="Calibri" w:hAnsi="Calibri"/>
                <w:sz w:val="18"/>
              </w:rPr>
              <w:t>PLTR</w:t>
            </w:r>
          </w:p>
        </w:tc>
        <w:tc>
          <w:tcPr>
            <w:tcW w:type="dxa" w:w="864"/>
            <w:tcBorders>
              <w:top w:val="single" w:sz="4" w:color="BFBFBF"/>
              <w:left w:val="single" w:sz="4" w:color="BFBFBF"/>
              <w:bottom w:val="single" w:sz="4" w:color="BFBFBF"/>
              <w:right w:val="single" w:sz="4" w:color="BFBFBF"/>
            </w:tcBorders>
            <w:vAlign w:val="top"/>
          </w:tcPr>
          <w:p>
            <w:r>
              <w:rPr>
                <w:rFonts w:ascii="Calibri" w:hAnsi="Calibri"/>
                <w:sz w:val="18"/>
              </w:rPr>
              <w:t>3.0%</w:t>
            </w:r>
          </w:p>
        </w:tc>
        <w:tc>
          <w:tcPr>
            <w:tcW w:type="dxa" w:w="5040"/>
            <w:tcBorders>
              <w:top w:val="single" w:sz="4" w:color="BFBFBF"/>
              <w:left w:val="single" w:sz="4" w:color="BFBFBF"/>
              <w:bottom w:val="single" w:sz="4" w:color="BFBFBF"/>
              <w:right w:val="single" w:sz="4" w:color="BFBFBF"/>
            </w:tcBorders>
            <w:vAlign w:val="top"/>
          </w:tcPr>
          <w:p>
            <w:r>
              <w:rPr>
                <w:rFonts w:ascii="Calibri" w:hAnsi="Calibri"/>
                <w:sz w:val="18"/>
              </w:rPr>
              <w:t>Argus / SA bull commentary digested; no new catalyst.</w:t>
            </w:r>
          </w:p>
        </w:tc>
        <w:tc>
          <w:tcPr>
            <w:tcW w:type="dxa" w:w="2448"/>
            <w:tcBorders>
              <w:top w:val="single" w:sz="4" w:color="BFBFBF"/>
              <w:left w:val="single" w:sz="4" w:color="BFBFBF"/>
              <w:bottom w:val="single" w:sz="4" w:color="BFBFBF"/>
              <w:right w:val="single" w:sz="4" w:color="BFBFBF"/>
            </w:tcBorders>
            <w:vAlign w:val="top"/>
          </w:tcPr>
          <w:p>
            <w:r>
              <w:rPr>
                <w:rFonts w:ascii="Calibri" w:hAnsi="Calibri"/>
                <w:sz w:val="18"/>
              </w:rPr>
              <w:t>HOLD 3.0%</w:t>
            </w:r>
          </w:p>
        </w:tc>
      </w:tr>
    </w:tbl>
    <w:p>
      <w:pPr>
        <w:spacing w:before="160" w:after="80"/>
      </w:pPr>
      <w:r>
        <w:rPr>
          <w:rFonts w:ascii="Calibri" w:hAnsi="Calibri"/>
          <w:b/>
          <w:color w:val="365F91"/>
          <w:sz w:val="28"/>
        </w:rPr>
        <w:t>3. Scan 2 — New Opportunities &amp; Watchlist</w:t>
      </w:r>
    </w:p>
    <w:tbl>
      <w:tblPr>
        <w:tblW w:type="auto" w:w="0"/>
        <w:jc w:val="left"/>
        <w:tblLook w:firstColumn="1" w:firstRow="1" w:lastColumn="0" w:lastRow="0" w:noHBand="0" w:noVBand="1" w:val="04A0"/>
      </w:tblPr>
      <w:tblGrid>
        <w:gridCol w:w="1656"/>
        <w:gridCol w:w="1656"/>
        <w:gridCol w:w="1656"/>
        <w:gridCol w:w="1656"/>
        <w:gridCol w:w="1656"/>
        <w:gridCol w:w="1656"/>
      </w:tblGrid>
      <w:tr>
        <w:tc>
          <w:tcPr>
            <w:tcW w:type="dxa" w:w="1008"/>
            <w:shd w:fill="1F4E79" w:val="clear"/>
            <w:tcBorders>
              <w:top w:val="single" w:sz="4" w:color="BFBFBF"/>
              <w:left w:val="single" w:sz="4" w:color="BFBFBF"/>
              <w:bottom w:val="single" w:sz="4" w:color="BFBFBF"/>
              <w:right w:val="single" w:sz="4" w:color="BFBFBF"/>
            </w:tcBorders>
            <w:vAlign w:val="center"/>
          </w:tcPr>
          <w:p>
            <w:pPr>
              <w:jc w:val="left"/>
            </w:pPr>
            <w:r>
              <w:rPr>
                <w:rFonts w:ascii="Calibri" w:hAnsi="Calibri"/>
                <w:b/>
                <w:color w:val="FFFFFF"/>
                <w:sz w:val="20"/>
              </w:rPr>
              <w:t>Ticker</w:t>
            </w:r>
          </w:p>
        </w:tc>
        <w:tc>
          <w:tcPr>
            <w:tcW w:type="dxa" w:w="864"/>
            <w:shd w:fill="1F4E79" w:val="clear"/>
            <w:tcBorders>
              <w:top w:val="single" w:sz="4" w:color="BFBFBF"/>
              <w:left w:val="single" w:sz="4" w:color="BFBFBF"/>
              <w:bottom w:val="single" w:sz="4" w:color="BFBFBF"/>
              <w:right w:val="single" w:sz="4" w:color="BFBFBF"/>
            </w:tcBorders>
            <w:vAlign w:val="center"/>
          </w:tcPr>
          <w:p>
            <w:pPr>
              <w:jc w:val="left"/>
            </w:pPr>
            <w:r>
              <w:rPr>
                <w:rFonts w:ascii="Calibri" w:hAnsi="Calibri"/>
                <w:b/>
                <w:color w:val="FFFFFF"/>
                <w:sz w:val="20"/>
              </w:rPr>
              <w:t>Conf</w:t>
            </w:r>
          </w:p>
        </w:tc>
        <w:tc>
          <w:tcPr>
            <w:tcW w:type="dxa" w:w="1584"/>
            <w:shd w:fill="1F4E79" w:val="clear"/>
            <w:tcBorders>
              <w:top w:val="single" w:sz="4" w:color="BFBFBF"/>
              <w:left w:val="single" w:sz="4" w:color="BFBFBF"/>
              <w:bottom w:val="single" w:sz="4" w:color="BFBFBF"/>
              <w:right w:val="single" w:sz="4" w:color="BFBFBF"/>
            </w:tcBorders>
            <w:vAlign w:val="center"/>
          </w:tcPr>
          <w:p>
            <w:pPr>
              <w:jc w:val="left"/>
            </w:pPr>
            <w:r>
              <w:rPr>
                <w:rFonts w:ascii="Calibri" w:hAnsi="Calibri"/>
                <w:b/>
                <w:color w:val="FFFFFF"/>
                <w:sz w:val="20"/>
              </w:rPr>
              <w:t>Size</w:t>
            </w:r>
          </w:p>
        </w:tc>
        <w:tc>
          <w:tcPr>
            <w:tcW w:type="dxa" w:w="2880"/>
            <w:shd w:fill="1F4E79" w:val="clear"/>
            <w:tcBorders>
              <w:top w:val="single" w:sz="4" w:color="BFBFBF"/>
              <w:left w:val="single" w:sz="4" w:color="BFBFBF"/>
              <w:bottom w:val="single" w:sz="4" w:color="BFBFBF"/>
              <w:right w:val="single" w:sz="4" w:color="BFBFBF"/>
            </w:tcBorders>
            <w:vAlign w:val="center"/>
          </w:tcPr>
          <w:p>
            <w:pPr>
              <w:jc w:val="left"/>
            </w:pPr>
            <w:r>
              <w:rPr>
                <w:rFonts w:ascii="Calibri" w:hAnsi="Calibri"/>
                <w:b/>
                <w:color w:val="FFFFFF"/>
                <w:sz w:val="20"/>
              </w:rPr>
              <w:t>Entry Trigger</w:t>
            </w:r>
          </w:p>
        </w:tc>
        <w:tc>
          <w:tcPr>
            <w:tcW w:type="dxa" w:w="2880"/>
            <w:shd w:fill="1F4E79" w:val="clear"/>
            <w:tcBorders>
              <w:top w:val="single" w:sz="4" w:color="BFBFBF"/>
              <w:left w:val="single" w:sz="4" w:color="BFBFBF"/>
              <w:bottom w:val="single" w:sz="4" w:color="BFBFBF"/>
              <w:right w:val="single" w:sz="4" w:color="BFBFBF"/>
            </w:tcBorders>
            <w:vAlign w:val="center"/>
          </w:tcPr>
          <w:p>
            <w:pPr>
              <w:jc w:val="left"/>
            </w:pPr>
            <w:r>
              <w:rPr>
                <w:rFonts w:ascii="Calibri" w:hAnsi="Calibri"/>
                <w:b/>
                <w:color w:val="FFFFFF"/>
                <w:sz w:val="20"/>
              </w:rPr>
              <w:t>Price Stop / Thesis Stop</w:t>
            </w:r>
          </w:p>
        </w:tc>
        <w:tc>
          <w:tcPr>
            <w:tcW w:type="dxa" w:w="2448"/>
            <w:shd w:fill="1F4E79" w:val="clear"/>
            <w:tcBorders>
              <w:top w:val="single" w:sz="4" w:color="BFBFBF"/>
              <w:left w:val="single" w:sz="4" w:color="BFBFBF"/>
              <w:bottom w:val="single" w:sz="4" w:color="BFBFBF"/>
              <w:right w:val="single" w:sz="4" w:color="BFBFBF"/>
            </w:tcBorders>
            <w:vAlign w:val="center"/>
          </w:tcPr>
          <w:p>
            <w:pPr>
              <w:jc w:val="left"/>
            </w:pPr>
            <w:r>
              <w:rPr>
                <w:rFonts w:ascii="Calibri" w:hAnsi="Calibri"/>
                <w:b/>
                <w:color w:val="FFFFFF"/>
                <w:sz w:val="20"/>
              </w:rPr>
              <w:t>Pre-mortem</w:t>
            </w:r>
          </w:p>
        </w:tc>
      </w:tr>
      <w:tr>
        <w:tc>
          <w:tcPr>
            <w:tcW w:type="dxa" w:w="1008"/>
            <w:tcBorders>
              <w:top w:val="single" w:sz="4" w:color="BFBFBF"/>
              <w:left w:val="single" w:sz="4" w:color="BFBFBF"/>
              <w:bottom w:val="single" w:sz="4" w:color="BFBFBF"/>
              <w:right w:val="single" w:sz="4" w:color="BFBFBF"/>
            </w:tcBorders>
            <w:vAlign w:val="top"/>
          </w:tcPr>
          <w:p>
            <w:r>
              <w:rPr>
                <w:rFonts w:ascii="Calibri" w:hAnsi="Calibri"/>
                <w:sz w:val="18"/>
              </w:rPr>
              <w:t>ARM</w:t>
            </w:r>
          </w:p>
        </w:tc>
        <w:tc>
          <w:tcPr>
            <w:tcW w:type="dxa" w:w="864"/>
            <w:tcBorders>
              <w:top w:val="single" w:sz="4" w:color="BFBFBF"/>
              <w:left w:val="single" w:sz="4" w:color="BFBFBF"/>
              <w:bottom w:val="single" w:sz="4" w:color="BFBFBF"/>
              <w:right w:val="single" w:sz="4" w:color="BFBFBF"/>
            </w:tcBorders>
            <w:vAlign w:val="top"/>
          </w:tcPr>
          <w:p>
            <w:r>
              <w:rPr>
                <w:rFonts w:ascii="Calibri" w:hAnsi="Calibri"/>
                <w:sz w:val="18"/>
              </w:rPr>
              <w:t>LOW</w:t>
            </w:r>
          </w:p>
        </w:tc>
        <w:tc>
          <w:tcPr>
            <w:tcW w:type="dxa" w:w="1584"/>
            <w:tcBorders>
              <w:top w:val="single" w:sz="4" w:color="BFBFBF"/>
              <w:left w:val="single" w:sz="4" w:color="BFBFBF"/>
              <w:bottom w:val="single" w:sz="4" w:color="BFBFBF"/>
              <w:right w:val="single" w:sz="4" w:color="BFBFBF"/>
            </w:tcBorders>
            <w:vAlign w:val="top"/>
          </w:tcPr>
          <w:p>
            <w:r>
              <w:rPr>
                <w:rFonts w:ascii="Calibri" w:hAnsi="Calibri"/>
                <w:sz w:val="18"/>
              </w:rPr>
              <w:t>1.0% from cash</w:t>
            </w:r>
          </w:p>
        </w:tc>
        <w:tc>
          <w:tcPr>
            <w:tcW w:type="dxa" w:w="2880"/>
            <w:tcBorders>
              <w:top w:val="single" w:sz="4" w:color="BFBFBF"/>
              <w:left w:val="single" w:sz="4" w:color="BFBFBF"/>
              <w:bottom w:val="single" w:sz="4" w:color="BFBFBF"/>
              <w:right w:val="single" w:sz="4" w:color="BFBFBF"/>
            </w:tcBorders>
            <w:vAlign w:val="top"/>
          </w:tcPr>
          <w:p>
            <w:r>
              <w:rPr>
                <w:rFonts w:ascii="Calibri" w:hAnsi="Calibri"/>
                <w:sz w:val="18"/>
              </w:rPr>
              <w:t>Sustained close &lt;$130 — not met</w:t>
            </w:r>
          </w:p>
        </w:tc>
        <w:tc>
          <w:tcPr>
            <w:tcW w:type="dxa" w:w="2880"/>
            <w:tcBorders>
              <w:top w:val="single" w:sz="4" w:color="BFBFBF"/>
              <w:left w:val="single" w:sz="4" w:color="BFBFBF"/>
              <w:bottom w:val="single" w:sz="4" w:color="BFBFBF"/>
              <w:right w:val="single" w:sz="4" w:color="BFBFBF"/>
            </w:tcBorders>
            <w:vAlign w:val="top"/>
          </w:tcPr>
          <w:p>
            <w:r>
              <w:rPr>
                <w:rFonts w:ascii="Calibri" w:hAnsi="Calibri"/>
                <w:sz w:val="18"/>
              </w:rPr>
              <w:t>Px stop $118 / Thesis: AI-edge royalty &lt;30% y/y for 2 qtrs</w:t>
            </w:r>
          </w:p>
        </w:tc>
        <w:tc>
          <w:tcPr>
            <w:tcW w:type="dxa" w:w="2448"/>
            <w:tcBorders>
              <w:top w:val="single" w:sz="4" w:color="BFBFBF"/>
              <w:left w:val="single" w:sz="4" w:color="BFBFBF"/>
              <w:bottom w:val="single" w:sz="4" w:color="BFBFBF"/>
              <w:right w:val="single" w:sz="4" w:color="BFBFBF"/>
            </w:tcBorders>
            <w:vAlign w:val="top"/>
          </w:tcPr>
          <w:p>
            <w:r>
              <w:rPr>
                <w:rFonts w:ascii="Calibri" w:hAnsi="Calibri"/>
                <w:sz w:val="18"/>
              </w:rPr>
              <w:t>Wrong if supply gap proves transient AND multiple does not compress</w:t>
            </w:r>
          </w:p>
        </w:tc>
      </w:tr>
      <w:tr>
        <w:tc>
          <w:tcPr>
            <w:tcW w:type="dxa" w:w="1008"/>
            <w:tcBorders>
              <w:top w:val="single" w:sz="4" w:color="BFBFBF"/>
              <w:left w:val="single" w:sz="4" w:color="BFBFBF"/>
              <w:bottom w:val="single" w:sz="4" w:color="BFBFBF"/>
              <w:right w:val="single" w:sz="4" w:color="BFBFBF"/>
            </w:tcBorders>
            <w:vAlign w:val="top"/>
          </w:tcPr>
          <w:p>
            <w:r>
              <w:rPr>
                <w:rFonts w:ascii="Calibri" w:hAnsi="Calibri"/>
                <w:sz w:val="18"/>
              </w:rPr>
              <w:t>SPOT</w:t>
            </w:r>
          </w:p>
        </w:tc>
        <w:tc>
          <w:tcPr>
            <w:tcW w:type="dxa" w:w="864"/>
            <w:tcBorders>
              <w:top w:val="single" w:sz="4" w:color="BFBFBF"/>
              <w:left w:val="single" w:sz="4" w:color="BFBFBF"/>
              <w:bottom w:val="single" w:sz="4" w:color="BFBFBF"/>
              <w:right w:val="single" w:sz="4" w:color="BFBFBF"/>
            </w:tcBorders>
            <w:vAlign w:val="top"/>
          </w:tcPr>
          <w:p>
            <w:r>
              <w:rPr>
                <w:rFonts w:ascii="Calibri" w:hAnsi="Calibri"/>
                <w:sz w:val="18"/>
              </w:rPr>
              <w:t>MED</w:t>
            </w:r>
          </w:p>
        </w:tc>
        <w:tc>
          <w:tcPr>
            <w:tcW w:type="dxa" w:w="1584"/>
            <w:tcBorders>
              <w:top w:val="single" w:sz="4" w:color="BFBFBF"/>
              <w:left w:val="single" w:sz="4" w:color="BFBFBF"/>
              <w:bottom w:val="single" w:sz="4" w:color="BFBFBF"/>
              <w:right w:val="single" w:sz="4" w:color="BFBFBF"/>
            </w:tcBorders>
            <w:vAlign w:val="top"/>
          </w:tcPr>
          <w:p>
            <w:r>
              <w:rPr>
                <w:rFonts w:ascii="Calibri" w:hAnsi="Calibri"/>
                <w:sz w:val="18"/>
              </w:rPr>
              <w:t>1.5% from cash</w:t>
            </w:r>
          </w:p>
        </w:tc>
        <w:tc>
          <w:tcPr>
            <w:tcW w:type="dxa" w:w="2880"/>
            <w:tcBorders>
              <w:top w:val="single" w:sz="4" w:color="BFBFBF"/>
              <w:left w:val="single" w:sz="4" w:color="BFBFBF"/>
              <w:bottom w:val="single" w:sz="4" w:color="BFBFBF"/>
              <w:right w:val="single" w:sz="4" w:color="BFBFBF"/>
            </w:tcBorders>
            <w:vAlign w:val="top"/>
          </w:tcPr>
          <w:p>
            <w:r>
              <w:rPr>
                <w:rFonts w:ascii="Calibri" w:hAnsi="Calibri"/>
                <w:sz w:val="18"/>
              </w:rPr>
              <w:t>&lt;$650 sustained close (long met by price; cash floor blocks)</w:t>
            </w:r>
          </w:p>
        </w:tc>
        <w:tc>
          <w:tcPr>
            <w:tcW w:type="dxa" w:w="2880"/>
            <w:tcBorders>
              <w:top w:val="single" w:sz="4" w:color="BFBFBF"/>
              <w:left w:val="single" w:sz="4" w:color="BFBFBF"/>
              <w:bottom w:val="single" w:sz="4" w:color="BFBFBF"/>
              <w:right w:val="single" w:sz="4" w:color="BFBFBF"/>
            </w:tcBorders>
            <w:vAlign w:val="top"/>
          </w:tcPr>
          <w:p>
            <w:r>
              <w:rPr>
                <w:rFonts w:ascii="Calibri" w:hAnsi="Calibri"/>
                <w:sz w:val="18"/>
              </w:rPr>
              <w:t>Px stop $610 (-6%) / Thesis: ad-rev &lt;8% y/y for 2 qtrs</w:t>
            </w:r>
          </w:p>
        </w:tc>
        <w:tc>
          <w:tcPr>
            <w:tcW w:type="dxa" w:w="2448"/>
            <w:tcBorders>
              <w:top w:val="single" w:sz="4" w:color="BFBFBF"/>
              <w:left w:val="single" w:sz="4" w:color="BFBFBF"/>
              <w:bottom w:val="single" w:sz="4" w:color="BFBFBF"/>
              <w:right w:val="single" w:sz="4" w:color="BFBFBF"/>
            </w:tcBorders>
            <w:vAlign w:val="top"/>
          </w:tcPr>
          <w:p>
            <w:r>
              <w:rPr>
                <w:rFonts w:ascii="Calibri" w:hAnsi="Calibri"/>
                <w:sz w:val="18"/>
              </w:rPr>
              <w:t>Wrong if podcast/ad flywheel decouples from Premium FCF</w:t>
            </w:r>
          </w:p>
        </w:tc>
      </w:tr>
      <w:tr>
        <w:tc>
          <w:tcPr>
            <w:tcW w:type="dxa" w:w="1008"/>
            <w:tcBorders>
              <w:top w:val="single" w:sz="4" w:color="BFBFBF"/>
              <w:left w:val="single" w:sz="4" w:color="BFBFBF"/>
              <w:bottom w:val="single" w:sz="4" w:color="BFBFBF"/>
              <w:right w:val="single" w:sz="4" w:color="BFBFBF"/>
            </w:tcBorders>
            <w:vAlign w:val="top"/>
          </w:tcPr>
          <w:p>
            <w:r>
              <w:rPr>
                <w:rFonts w:ascii="Calibri" w:hAnsi="Calibri"/>
                <w:sz w:val="18"/>
              </w:rPr>
              <w:t>CSCO</w:t>
            </w:r>
          </w:p>
        </w:tc>
        <w:tc>
          <w:tcPr>
            <w:tcW w:type="dxa" w:w="864"/>
            <w:tcBorders>
              <w:top w:val="single" w:sz="4" w:color="BFBFBF"/>
              <w:left w:val="single" w:sz="4" w:color="BFBFBF"/>
              <w:bottom w:val="single" w:sz="4" w:color="BFBFBF"/>
              <w:right w:val="single" w:sz="4" w:color="BFBFBF"/>
            </w:tcBorders>
            <w:vAlign w:val="top"/>
          </w:tcPr>
          <w:p>
            <w:r>
              <w:rPr>
                <w:rFonts w:ascii="Calibri" w:hAnsi="Calibri"/>
                <w:sz w:val="18"/>
              </w:rPr>
              <w:t>LOW</w:t>
            </w:r>
          </w:p>
        </w:tc>
        <w:tc>
          <w:tcPr>
            <w:tcW w:type="dxa" w:w="1584"/>
            <w:tcBorders>
              <w:top w:val="single" w:sz="4" w:color="BFBFBF"/>
              <w:left w:val="single" w:sz="4" w:color="BFBFBF"/>
              <w:bottom w:val="single" w:sz="4" w:color="BFBFBF"/>
              <w:right w:val="single" w:sz="4" w:color="BFBFBF"/>
            </w:tcBorders>
            <w:vAlign w:val="top"/>
          </w:tcPr>
          <w:p>
            <w:r>
              <w:rPr>
                <w:rFonts w:ascii="Calibri" w:hAnsi="Calibri"/>
                <w:sz w:val="18"/>
              </w:rPr>
              <w:t>Watch only — not adding</w:t>
            </w:r>
          </w:p>
        </w:tc>
        <w:tc>
          <w:tcPr>
            <w:tcW w:type="dxa" w:w="2880"/>
            <w:tcBorders>
              <w:top w:val="single" w:sz="4" w:color="BFBFBF"/>
              <w:left w:val="single" w:sz="4" w:color="BFBFBF"/>
              <w:bottom w:val="single" w:sz="4" w:color="BFBFBF"/>
              <w:right w:val="single" w:sz="4" w:color="BFBFBF"/>
            </w:tcBorders>
            <w:vAlign w:val="top"/>
          </w:tcPr>
          <w:p>
            <w:r>
              <w:rPr>
                <w:rFonts w:ascii="Calibri" w:hAnsi="Calibri"/>
                <w:sz w:val="18"/>
              </w:rPr>
              <w:t>Already +17% AH 5/13; no pullback</w:t>
            </w:r>
          </w:p>
        </w:tc>
        <w:tc>
          <w:tcPr>
            <w:tcW w:type="dxa" w:w="2880"/>
            <w:tcBorders>
              <w:top w:val="single" w:sz="4" w:color="BFBFBF"/>
              <w:left w:val="single" w:sz="4" w:color="BFBFBF"/>
              <w:bottom w:val="single" w:sz="4" w:color="BFBFBF"/>
              <w:right w:val="single" w:sz="4" w:color="BFBFBF"/>
            </w:tcBorders>
            <w:vAlign w:val="top"/>
          </w:tcPr>
          <w:p>
            <w:r>
              <w:rPr>
                <w:rFonts w:ascii="Calibri" w:hAnsi="Calibri"/>
                <w:sz w:val="18"/>
              </w:rPr>
              <w:t>n/a — no entry today</w:t>
            </w:r>
          </w:p>
        </w:tc>
        <w:tc>
          <w:tcPr>
            <w:tcW w:type="dxa" w:w="2448"/>
            <w:tcBorders>
              <w:top w:val="single" w:sz="4" w:color="BFBFBF"/>
              <w:left w:val="single" w:sz="4" w:color="BFBFBF"/>
              <w:bottom w:val="single" w:sz="4" w:color="BFBFBF"/>
              <w:right w:val="single" w:sz="4" w:color="BFBFBF"/>
            </w:tcBorders>
            <w:vAlign w:val="top"/>
          </w:tcPr>
          <w:p>
            <w:r>
              <w:rPr>
                <w:rFonts w:ascii="Calibri" w:hAnsi="Calibri"/>
                <w:sz w:val="18"/>
              </w:rPr>
              <w:t>AI-infra read already in book via PANW, AVGO, ORCL, MSFT</w:t>
            </w:r>
          </w:p>
        </w:tc>
      </w:tr>
    </w:tbl>
    <w:p>
      <w:pPr>
        <w:spacing w:after="80"/>
      </w:pPr>
      <w:r>
        <w:rPr>
          <w:rFonts w:ascii="Calibri" w:hAnsi="Calibri"/>
          <w:b w:val="0"/>
          <w:i w:val="0"/>
          <w:sz w:val="20"/>
        </w:rPr>
        <w:t>No watchlist entries today. SPOT trigger long met on price but blocked by cash floor; ARM trigger not met; CSCO read already harvested via held names. Friday into weekend; reactive only.</w:t>
      </w:r>
    </w:p>
    <w:p>
      <w:pPr>
        <w:spacing w:before="160" w:after="80"/>
      </w:pPr>
      <w:r>
        <w:rPr>
          <w:rFonts w:ascii="Calibri" w:hAnsi="Calibri"/>
          <w:b/>
          <w:color w:val="365F91"/>
          <w:sz w:val="28"/>
        </w:rPr>
        <w:t>4. Cash Recommendation</w:t>
      </w:r>
    </w:p>
    <w:tbl>
      <w:tblPr>
        <w:tblW w:type="auto" w:w="0"/>
        <w:jc w:val="left"/>
        <w:tblLook w:firstColumn="1" w:firstRow="1" w:lastColumn="0" w:lastRow="0" w:noHBand="0" w:noVBand="1" w:val="04A0"/>
      </w:tblPr>
      <w:tblGrid>
        <w:gridCol w:w="3312"/>
        <w:gridCol w:w="3312"/>
        <w:gridCol w:w="3312"/>
      </w:tblGrid>
      <w:tr>
        <w:tc>
          <w:tcPr>
            <w:tcW w:type="dxa" w:w="4320"/>
            <w:shd w:fill="1F4E79" w:val="clear"/>
            <w:tcBorders>
              <w:top w:val="single" w:sz="4" w:color="BFBFBF"/>
              <w:left w:val="single" w:sz="4" w:color="BFBFBF"/>
              <w:bottom w:val="single" w:sz="4" w:color="BFBFBF"/>
              <w:right w:val="single" w:sz="4" w:color="BFBFBF"/>
            </w:tcBorders>
            <w:vAlign w:val="center"/>
          </w:tcPr>
          <w:p>
            <w:pPr>
              <w:jc w:val="left"/>
            </w:pPr>
            <w:r>
              <w:rPr>
                <w:rFonts w:ascii="Calibri" w:hAnsi="Calibri"/>
                <w:b/>
                <w:color w:val="FFFFFF"/>
                <w:sz w:val="20"/>
              </w:rPr>
              <w:t>Item</w:t>
            </w:r>
          </w:p>
        </w:tc>
        <w:tc>
          <w:tcPr>
            <w:tcW w:type="dxa" w:w="3456"/>
            <w:shd w:fill="1F4E79" w:val="clear"/>
            <w:tcBorders>
              <w:top w:val="single" w:sz="4" w:color="BFBFBF"/>
              <w:left w:val="single" w:sz="4" w:color="BFBFBF"/>
              <w:bottom w:val="single" w:sz="4" w:color="BFBFBF"/>
              <w:right w:val="single" w:sz="4" w:color="BFBFBF"/>
            </w:tcBorders>
            <w:vAlign w:val="center"/>
          </w:tcPr>
          <w:p>
            <w:pPr>
              <w:jc w:val="left"/>
            </w:pPr>
            <w:r>
              <w:rPr>
                <w:rFonts w:ascii="Calibri" w:hAnsi="Calibri"/>
                <w:b/>
                <w:color w:val="FFFFFF"/>
                <w:sz w:val="20"/>
              </w:rPr>
              <w:t>Value</w:t>
            </w:r>
          </w:p>
        </w:tc>
        <w:tc>
          <w:tcPr>
            <w:tcW w:type="dxa" w:w="3744"/>
            <w:shd w:fill="1F4E79" w:val="clear"/>
            <w:tcBorders>
              <w:top w:val="single" w:sz="4" w:color="BFBFBF"/>
              <w:left w:val="single" w:sz="4" w:color="BFBFBF"/>
              <w:bottom w:val="single" w:sz="4" w:color="BFBFBF"/>
              <w:right w:val="single" w:sz="4" w:color="BFBFBF"/>
            </w:tcBorders>
            <w:vAlign w:val="center"/>
          </w:tcPr>
          <w:p>
            <w:pPr>
              <w:jc w:val="left"/>
            </w:pPr>
            <w:r>
              <w:rPr>
                <w:rFonts w:ascii="Calibri" w:hAnsi="Calibri"/>
                <w:b/>
                <w:color w:val="FFFFFF"/>
                <w:sz w:val="20"/>
              </w:rPr>
              <w:t>Status</w:t>
            </w:r>
          </w:p>
        </w:tc>
      </w:tr>
      <w:tr>
        <w:tc>
          <w:tcPr>
            <w:tcW w:type="dxa" w:w="4320"/>
            <w:tcBorders>
              <w:top w:val="single" w:sz="4" w:color="BFBFBF"/>
              <w:left w:val="single" w:sz="4" w:color="BFBFBF"/>
              <w:bottom w:val="single" w:sz="4" w:color="BFBFBF"/>
              <w:right w:val="single" w:sz="4" w:color="BFBFBF"/>
            </w:tcBorders>
            <w:vAlign w:val="top"/>
          </w:tcPr>
          <w:p>
            <w:r>
              <w:rPr>
                <w:rFonts w:ascii="Calibri" w:hAnsi="Calibri"/>
                <w:sz w:val="18"/>
              </w:rPr>
              <w:t>Current cash weight</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15.0%</w:t>
            </w:r>
          </w:p>
        </w:tc>
        <w:tc>
          <w:tcPr>
            <w:tcW w:type="dxa" w:w="3744"/>
            <w:tcBorders>
              <w:top w:val="single" w:sz="4" w:color="BFBFBF"/>
              <w:left w:val="single" w:sz="4" w:color="BFBFBF"/>
              <w:bottom w:val="single" w:sz="4" w:color="BFBFBF"/>
              <w:right w:val="single" w:sz="4" w:color="BFBFBF"/>
            </w:tcBorders>
            <w:vAlign w:val="top"/>
          </w:tcPr>
          <w:p>
            <w:r>
              <w:rPr>
                <w:rFonts w:ascii="Calibri" w:hAnsi="Calibri"/>
                <w:sz w:val="18"/>
              </w:rPr>
              <w:t>At self-imposed floor</w:t>
            </w:r>
          </w:p>
        </w:tc>
      </w:tr>
      <w:tr>
        <w:tc>
          <w:tcPr>
            <w:tcW w:type="dxa" w:w="4320"/>
            <w:tcBorders>
              <w:top w:val="single" w:sz="4" w:color="BFBFBF"/>
              <w:left w:val="single" w:sz="4" w:color="BFBFBF"/>
              <w:bottom w:val="single" w:sz="4" w:color="BFBFBF"/>
              <w:right w:val="single" w:sz="4" w:color="BFBFBF"/>
            </w:tcBorders>
            <w:vAlign w:val="top"/>
          </w:tcPr>
          <w:p>
            <w:r>
              <w:rPr>
                <w:rFonts w:ascii="Calibri" w:hAnsi="Calibri"/>
                <w:sz w:val="18"/>
              </w:rPr>
              <w:t>Deploy trigger (NFP &lt;30k AND mkt -1.5%)</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VOID since 5/8 NFP +115k</w:t>
            </w:r>
          </w:p>
        </w:tc>
        <w:tc>
          <w:tcPr>
            <w:tcW w:type="dxa" w:w="3744"/>
            <w:tcBorders>
              <w:top w:val="single" w:sz="4" w:color="BFBFBF"/>
              <w:left w:val="single" w:sz="4" w:color="BFBFBF"/>
              <w:bottom w:val="single" w:sz="4" w:color="BFBFBF"/>
              <w:right w:val="single" w:sz="4" w:color="BFBFBF"/>
            </w:tcBorders>
            <w:vAlign w:val="top"/>
          </w:tcPr>
          <w:p>
            <w:r>
              <w:rPr>
                <w:rFonts w:ascii="Calibri" w:hAnsi="Calibri"/>
                <w:sz w:val="18"/>
              </w:rPr>
              <w:t>VOID</w:t>
            </w:r>
          </w:p>
        </w:tc>
      </w:tr>
      <w:tr>
        <w:tc>
          <w:tcPr>
            <w:tcW w:type="dxa" w:w="4320"/>
            <w:tcBorders>
              <w:top w:val="single" w:sz="4" w:color="BFBFBF"/>
              <w:left w:val="single" w:sz="4" w:color="BFBFBF"/>
              <w:bottom w:val="single" w:sz="4" w:color="BFBFBF"/>
              <w:right w:val="single" w:sz="4" w:color="BFBFBF"/>
            </w:tcBorders>
            <w:vAlign w:val="top"/>
          </w:tcPr>
          <w:p>
            <w:r>
              <w:rPr>
                <w:rFonts w:ascii="Calibri" w:hAnsi="Calibri"/>
                <w:sz w:val="18"/>
              </w:rPr>
              <w:t>NVDA-print conditional</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On miss → no trim (thesis-stop not hit); on beat → no add (at cap)</w:t>
            </w:r>
          </w:p>
        </w:tc>
        <w:tc>
          <w:tcPr>
            <w:tcW w:type="dxa" w:w="3744"/>
            <w:tcBorders>
              <w:top w:val="single" w:sz="4" w:color="BFBFBF"/>
              <w:left w:val="single" w:sz="4" w:color="BFBFBF"/>
              <w:bottom w:val="single" w:sz="4" w:color="BFBFBF"/>
              <w:right w:val="single" w:sz="4" w:color="BFBFBF"/>
            </w:tcBorders>
            <w:vAlign w:val="top"/>
          </w:tcPr>
          <w:p>
            <w:r>
              <w:rPr>
                <w:rFonts w:ascii="Calibri" w:hAnsi="Calibri"/>
                <w:sz w:val="18"/>
              </w:rPr>
              <w:t>PENDING (Wed 5/20)</w:t>
            </w:r>
          </w:p>
        </w:tc>
      </w:tr>
      <w:tr>
        <w:tc>
          <w:tcPr>
            <w:tcW w:type="dxa" w:w="4320"/>
            <w:tcBorders>
              <w:top w:val="single" w:sz="4" w:color="BFBFBF"/>
              <w:left w:val="single" w:sz="4" w:color="BFBFBF"/>
              <w:bottom w:val="single" w:sz="4" w:color="BFBFBF"/>
              <w:right w:val="single" w:sz="4" w:color="BFBFBF"/>
            </w:tcBorders>
            <w:vAlign w:val="top"/>
          </w:tcPr>
          <w:p>
            <w:r>
              <w:rPr>
                <w:rFonts w:ascii="Calibri" w:hAnsi="Calibri"/>
                <w:sz w:val="18"/>
              </w:rPr>
              <w:t>Trim trigger (WTI sustained close &lt;$90)</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WTI ~$101; gap &gt;$10</w:t>
            </w:r>
          </w:p>
        </w:tc>
        <w:tc>
          <w:tcPr>
            <w:tcW w:type="dxa" w:w="3744"/>
            <w:tcBorders>
              <w:top w:val="single" w:sz="4" w:color="BFBFBF"/>
              <w:left w:val="single" w:sz="4" w:color="BFBFBF"/>
              <w:bottom w:val="single" w:sz="4" w:color="BFBFBF"/>
              <w:right w:val="single" w:sz="4" w:color="BFBFBF"/>
            </w:tcBorders>
            <w:vAlign w:val="top"/>
          </w:tcPr>
          <w:p>
            <w:r>
              <w:rPr>
                <w:rFonts w:ascii="Calibri" w:hAnsi="Calibri"/>
                <w:sz w:val="18"/>
              </w:rPr>
              <w:t>NOT MET</w:t>
            </w:r>
          </w:p>
        </w:tc>
      </w:tr>
      <w:tr>
        <w:tc>
          <w:tcPr>
            <w:tcW w:type="dxa" w:w="4320"/>
            <w:tcBorders>
              <w:top w:val="single" w:sz="4" w:color="BFBFBF"/>
              <w:left w:val="single" w:sz="4" w:color="BFBFBF"/>
              <w:bottom w:val="single" w:sz="4" w:color="BFBFBF"/>
              <w:right w:val="single" w:sz="4" w:color="BFBFBF"/>
            </w:tcBorders>
            <w:vAlign w:val="top"/>
          </w:tcPr>
          <w:p>
            <w:r>
              <w:rPr>
                <w:rFonts w:ascii="Calibri" w:hAnsi="Calibri"/>
                <w:sz w:val="18"/>
              </w:rPr>
              <w:t>Drawdown trigger (WTD ≤ −3%)</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WTD positive after record Thu</w:t>
            </w:r>
          </w:p>
        </w:tc>
        <w:tc>
          <w:tcPr>
            <w:tcW w:type="dxa" w:w="3744"/>
            <w:tcBorders>
              <w:top w:val="single" w:sz="4" w:color="BFBFBF"/>
              <w:left w:val="single" w:sz="4" w:color="BFBFBF"/>
              <w:bottom w:val="single" w:sz="4" w:color="BFBFBF"/>
              <w:right w:val="single" w:sz="4" w:color="BFBFBF"/>
            </w:tcBorders>
            <w:vAlign w:val="top"/>
          </w:tcPr>
          <w:p>
            <w:r>
              <w:rPr>
                <w:rFonts w:ascii="Calibri" w:hAnsi="Calibri"/>
                <w:sz w:val="18"/>
              </w:rPr>
              <w:t>NOT MET</w:t>
            </w:r>
          </w:p>
        </w:tc>
      </w:tr>
    </w:tbl>
    <w:p>
      <w:pPr>
        <w:spacing w:after="80"/>
      </w:pPr>
      <w:r>
        <w:rPr>
          <w:rFonts w:ascii="Calibri" w:hAnsi="Calibri"/>
          <w:b w:val="0"/>
          <w:i w:val="0"/>
          <w:sz w:val="20"/>
        </w:rPr>
        <w:t>Rationale. Records on Thu close + soft Friday open is not a deploy / trim setup. Hold 15.0% floor; reactive posture preserved into NVDA May 20 print and the June 16-17 Warsh-led FOMC.</w:t>
      </w:r>
    </w:p>
    <w:p>
      <w:pPr>
        <w:spacing w:before="160" w:after="80"/>
      </w:pPr>
      <w:r>
        <w:rPr>
          <w:rFonts w:ascii="Calibri" w:hAnsi="Calibri"/>
          <w:b/>
          <w:color w:val="365F91"/>
          <w:sz w:val="28"/>
        </w:rPr>
        <w:t>5. Pending Catalysts — Status Update</w:t>
      </w:r>
    </w:p>
    <w:tbl>
      <w:tblPr>
        <w:tblW w:type="auto" w:w="0"/>
        <w:jc w:val="left"/>
        <w:tblLook w:firstColumn="1" w:firstRow="1" w:lastColumn="0" w:lastRow="0" w:noHBand="0" w:noVBand="1" w:val="04A0"/>
      </w:tblPr>
      <w:tblGrid>
        <w:gridCol w:w="2484"/>
        <w:gridCol w:w="2484"/>
        <w:gridCol w:w="2484"/>
        <w:gridCol w:w="2484"/>
      </w:tblGrid>
      <w:tr>
        <w:tc>
          <w:tcPr>
            <w:tcW w:type="dxa" w:w="2016"/>
            <w:shd w:fill="1F4E79" w:val="clear"/>
            <w:tcBorders>
              <w:top w:val="single" w:sz="4" w:color="BFBFBF"/>
              <w:left w:val="single" w:sz="4" w:color="BFBFBF"/>
              <w:bottom w:val="single" w:sz="4" w:color="BFBFBF"/>
              <w:right w:val="single" w:sz="4" w:color="BFBFBF"/>
            </w:tcBorders>
            <w:vAlign w:val="center"/>
          </w:tcPr>
          <w:p>
            <w:pPr>
              <w:jc w:val="left"/>
            </w:pPr>
            <w:r>
              <w:rPr>
                <w:rFonts w:ascii="Calibri" w:hAnsi="Calibri"/>
                <w:b/>
                <w:color w:val="FFFFFF"/>
                <w:sz w:val="20"/>
              </w:rPr>
              <w:t>When</w:t>
            </w:r>
          </w:p>
        </w:tc>
        <w:tc>
          <w:tcPr>
            <w:tcW w:type="dxa" w:w="3888"/>
            <w:shd w:fill="1F4E79" w:val="clear"/>
            <w:tcBorders>
              <w:top w:val="single" w:sz="4" w:color="BFBFBF"/>
              <w:left w:val="single" w:sz="4" w:color="BFBFBF"/>
              <w:bottom w:val="single" w:sz="4" w:color="BFBFBF"/>
              <w:right w:val="single" w:sz="4" w:color="BFBFBF"/>
            </w:tcBorders>
            <w:vAlign w:val="center"/>
          </w:tcPr>
          <w:p>
            <w:pPr>
              <w:jc w:val="left"/>
            </w:pPr>
            <w:r>
              <w:rPr>
                <w:rFonts w:ascii="Calibri" w:hAnsi="Calibri"/>
                <w:b/>
                <w:color w:val="FFFFFF"/>
                <w:sz w:val="20"/>
              </w:rPr>
              <w:t>Event</w:t>
            </w:r>
          </w:p>
        </w:tc>
        <w:tc>
          <w:tcPr>
            <w:tcW w:type="dxa" w:w="3456"/>
            <w:shd w:fill="1F4E79" w:val="clear"/>
            <w:tcBorders>
              <w:top w:val="single" w:sz="4" w:color="BFBFBF"/>
              <w:left w:val="single" w:sz="4" w:color="BFBFBF"/>
              <w:bottom w:val="single" w:sz="4" w:color="BFBFBF"/>
              <w:right w:val="single" w:sz="4" w:color="BFBFBF"/>
            </w:tcBorders>
            <w:vAlign w:val="center"/>
          </w:tcPr>
          <w:p>
            <w:pPr>
              <w:jc w:val="left"/>
            </w:pPr>
            <w:r>
              <w:rPr>
                <w:rFonts w:ascii="Calibri" w:hAnsi="Calibri"/>
                <w:b/>
                <w:color w:val="FFFFFF"/>
                <w:sz w:val="20"/>
              </w:rPr>
              <w:t>Held Read-Through</w:t>
            </w:r>
          </w:p>
        </w:tc>
        <w:tc>
          <w:tcPr>
            <w:tcW w:type="dxa" w:w="2160"/>
            <w:shd w:fill="1F4E79" w:val="clear"/>
            <w:tcBorders>
              <w:top w:val="single" w:sz="4" w:color="BFBFBF"/>
              <w:left w:val="single" w:sz="4" w:color="BFBFBF"/>
              <w:bottom w:val="single" w:sz="4" w:color="BFBFBF"/>
              <w:right w:val="single" w:sz="4" w:color="BFBFBF"/>
            </w:tcBorders>
            <w:vAlign w:val="center"/>
          </w:tcPr>
          <w:p>
            <w:pPr>
              <w:jc w:val="left"/>
            </w:pPr>
            <w:r>
              <w:rPr>
                <w:rFonts w:ascii="Calibri" w:hAnsi="Calibri"/>
                <w:b/>
                <w:color w:val="FFFFFF"/>
                <w:sz w:val="20"/>
              </w:rPr>
              <w:t>Pre-Plan</w:t>
            </w:r>
          </w:p>
        </w:tc>
      </w:tr>
      <w:tr>
        <w:tc>
          <w:tcPr>
            <w:tcW w:type="dxa" w:w="2016"/>
            <w:tcBorders>
              <w:top w:val="single" w:sz="4" w:color="BFBFBF"/>
              <w:left w:val="single" w:sz="4" w:color="BFBFBF"/>
              <w:bottom w:val="single" w:sz="4" w:color="BFBFBF"/>
              <w:right w:val="single" w:sz="4" w:color="BFBFBF"/>
            </w:tcBorders>
            <w:vAlign w:val="top"/>
          </w:tcPr>
          <w:p>
            <w:r>
              <w:rPr>
                <w:rFonts w:ascii="Calibri" w:hAnsi="Calibri"/>
                <w:sz w:val="18"/>
              </w:rPr>
              <w:t>Wed May 20 AMC</w:t>
            </w:r>
          </w:p>
        </w:tc>
        <w:tc>
          <w:tcPr>
            <w:tcW w:type="dxa" w:w="3888"/>
            <w:tcBorders>
              <w:top w:val="single" w:sz="4" w:color="BFBFBF"/>
              <w:left w:val="single" w:sz="4" w:color="BFBFBF"/>
              <w:bottom w:val="single" w:sz="4" w:color="BFBFBF"/>
              <w:right w:val="single" w:sz="4" w:color="BFBFBF"/>
            </w:tcBorders>
            <w:vAlign w:val="top"/>
          </w:tcPr>
          <w:p>
            <w:r>
              <w:rPr>
                <w:rFonts w:ascii="Calibri" w:hAnsi="Calibri"/>
                <w:sz w:val="18"/>
              </w:rPr>
              <w:t>NVDA Q1 fiscal 2027 (cons rev $78.98B +79%; EPS $1.78)</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NVDA 6.5, AVGO 4.0, MU 2.5, TSM 3.0, ORCL 3.0</w:t>
            </w:r>
          </w:p>
        </w:tc>
        <w:tc>
          <w:tcPr>
            <w:tcW w:type="dxa" w:w="2160"/>
            <w:tcBorders>
              <w:top w:val="single" w:sz="4" w:color="BFBFBF"/>
              <w:left w:val="single" w:sz="4" w:color="BFBFBF"/>
              <w:bottom w:val="single" w:sz="4" w:color="BFBFBF"/>
              <w:right w:val="single" w:sz="4" w:color="BFBFBF"/>
            </w:tcBorders>
            <w:vAlign w:val="top"/>
          </w:tcPr>
          <w:p>
            <w:r>
              <w:rPr>
                <w:rFonts w:ascii="Calibri" w:hAnsi="Calibri"/>
                <w:sz w:val="18"/>
              </w:rPr>
              <w:t>At cap; thesis-stop check on miss</w:t>
            </w:r>
          </w:p>
        </w:tc>
      </w:tr>
      <w:tr>
        <w:tc>
          <w:tcPr>
            <w:tcW w:type="dxa" w:w="2016"/>
            <w:tcBorders>
              <w:top w:val="single" w:sz="4" w:color="BFBFBF"/>
              <w:left w:val="single" w:sz="4" w:color="BFBFBF"/>
              <w:bottom w:val="single" w:sz="4" w:color="BFBFBF"/>
              <w:right w:val="single" w:sz="4" w:color="BFBFBF"/>
            </w:tcBorders>
            <w:vAlign w:val="top"/>
          </w:tcPr>
          <w:p>
            <w:r>
              <w:rPr>
                <w:rFonts w:ascii="Calibri" w:hAnsi="Calibri"/>
                <w:sz w:val="18"/>
              </w:rPr>
              <w:t>Wk of May 18</w:t>
            </w:r>
          </w:p>
        </w:tc>
        <w:tc>
          <w:tcPr>
            <w:tcW w:type="dxa" w:w="3888"/>
            <w:tcBorders>
              <w:top w:val="single" w:sz="4" w:color="BFBFBF"/>
              <w:left w:val="single" w:sz="4" w:color="BFBFBF"/>
              <w:bottom w:val="single" w:sz="4" w:color="BFBFBF"/>
              <w:right w:val="single" w:sz="4" w:color="BFBFBF"/>
            </w:tcBorders>
            <w:vAlign w:val="top"/>
          </w:tcPr>
          <w:p>
            <w:r>
              <w:rPr>
                <w:rFonts w:ascii="Calibri" w:hAnsi="Calibri"/>
                <w:sz w:val="18"/>
              </w:rPr>
              <w:t>Retail sales / Treasury auctions / housing data</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Cyclical and rate-sensitive complex</w:t>
            </w:r>
          </w:p>
        </w:tc>
        <w:tc>
          <w:tcPr>
            <w:tcW w:type="dxa" w:w="2160"/>
            <w:tcBorders>
              <w:top w:val="single" w:sz="4" w:color="BFBFBF"/>
              <w:left w:val="single" w:sz="4" w:color="BFBFBF"/>
              <w:bottom w:val="single" w:sz="4" w:color="BFBFBF"/>
              <w:right w:val="single" w:sz="4" w:color="BFBFBF"/>
            </w:tcBorders>
            <w:vAlign w:val="top"/>
          </w:tcPr>
          <w:p>
            <w:r>
              <w:rPr>
                <w:rFonts w:ascii="Calibri" w:hAnsi="Calibri"/>
                <w:sz w:val="18"/>
              </w:rPr>
              <w:t>Monitor</w:t>
            </w:r>
          </w:p>
        </w:tc>
      </w:tr>
      <w:tr>
        <w:tc>
          <w:tcPr>
            <w:tcW w:type="dxa" w:w="2016"/>
            <w:tcBorders>
              <w:top w:val="single" w:sz="4" w:color="BFBFBF"/>
              <w:left w:val="single" w:sz="4" w:color="BFBFBF"/>
              <w:bottom w:val="single" w:sz="4" w:color="BFBFBF"/>
              <w:right w:val="single" w:sz="4" w:color="BFBFBF"/>
            </w:tcBorders>
            <w:vAlign w:val="top"/>
          </w:tcPr>
          <w:p>
            <w:r>
              <w:rPr>
                <w:rFonts w:ascii="Calibri" w:hAnsi="Calibri"/>
                <w:sz w:val="18"/>
              </w:rPr>
              <w:t>Jun 16-17</w:t>
            </w:r>
          </w:p>
        </w:tc>
        <w:tc>
          <w:tcPr>
            <w:tcW w:type="dxa" w:w="3888"/>
            <w:tcBorders>
              <w:top w:val="single" w:sz="4" w:color="BFBFBF"/>
              <w:left w:val="single" w:sz="4" w:color="BFBFBF"/>
              <w:bottom w:val="single" w:sz="4" w:color="BFBFBF"/>
              <w:right w:val="single" w:sz="4" w:color="BFBFBF"/>
            </w:tcBorders>
            <w:vAlign w:val="top"/>
          </w:tcPr>
          <w:p>
            <w:r>
              <w:rPr>
                <w:rFonts w:ascii="Calibri" w:hAnsi="Calibri"/>
                <w:sz w:val="18"/>
              </w:rPr>
              <w:t>First FOMC under Warsh</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Rate-path duration across growth book</w:t>
            </w:r>
          </w:p>
        </w:tc>
        <w:tc>
          <w:tcPr>
            <w:tcW w:type="dxa" w:w="2160"/>
            <w:tcBorders>
              <w:top w:val="single" w:sz="4" w:color="BFBFBF"/>
              <w:left w:val="single" w:sz="4" w:color="BFBFBF"/>
              <w:bottom w:val="single" w:sz="4" w:color="BFBFBF"/>
              <w:right w:val="single" w:sz="4" w:color="BFBFBF"/>
            </w:tcBorders>
            <w:vAlign w:val="top"/>
          </w:tcPr>
          <w:p>
            <w:r>
              <w:rPr>
                <w:rFonts w:ascii="Calibri" w:hAnsi="Calibri"/>
                <w:sz w:val="18"/>
              </w:rPr>
              <w:t>No pre-positioning; reactive only</w:t>
            </w:r>
          </w:p>
        </w:tc>
      </w:tr>
    </w:tbl>
    <w:p>
      <w:pPr>
        <w:spacing w:before="160" w:after="80"/>
      </w:pPr>
      <w:r>
        <w:rPr>
          <w:rFonts w:ascii="Calibri" w:hAnsi="Calibri"/>
          <w:b/>
          <w:color w:val="365F91"/>
          <w:sz w:val="28"/>
        </w:rPr>
        <w:t>6. Recommended Weight Changes (Today)</w:t>
      </w:r>
    </w:p>
    <w:p>
      <w:r>
        <w:rPr>
          <w:rFonts w:ascii="Calibri" w:hAnsi="Calibri"/>
          <w:b/>
          <w:sz w:val="20"/>
        </w:rPr>
        <w:t xml:space="preserve">No weight changes recommended today. </w:t>
      </w:r>
      <w:r>
        <w:rPr>
          <w:rFonts w:ascii="Calibri" w:hAnsi="Calibri"/>
          <w:sz w:val="20"/>
        </w:rPr>
        <w:t>Cash at 15.0% floor. All IPS hard limits within band. NVDA at 7.0% single-name cap with 6.5% target (within tolerance). Reactive posture preserved into NVDA print May 20 and Warsh-led FOMC June 16-17.</w:t>
      </w:r>
    </w:p>
    <w:p>
      <w:pPr>
        <w:spacing w:before="160" w:after="80"/>
      </w:pPr>
      <w:r>
        <w:rPr>
          <w:rFonts w:ascii="Calibri" w:hAnsi="Calibri"/>
          <w:b/>
          <w:color w:val="365F91"/>
          <w:sz w:val="28"/>
        </w:rPr>
        <w:t>7. Full Portfolio Table — 27 Positions + Cash</w:t>
      </w:r>
    </w:p>
    <w:tbl>
      <w:tblPr>
        <w:tblW w:type="auto" w:w="0"/>
        <w:jc w:val="left"/>
        <w:tblLook w:firstColumn="1" w:firstRow="1" w:lastColumn="0" w:lastRow="0" w:noHBand="0" w:noVBand="1" w:val="04A0"/>
      </w:tblPr>
      <w:tblGrid>
        <w:gridCol w:w="3312"/>
        <w:gridCol w:w="3312"/>
        <w:gridCol w:w="3312"/>
      </w:tblGrid>
      <w:tr>
        <w:tc>
          <w:tcPr>
            <w:tcW w:type="dxa" w:w="1728"/>
            <w:shd w:fill="1F4E79" w:val="clear"/>
            <w:tcBorders>
              <w:top w:val="single" w:sz="4" w:color="BFBFBF"/>
              <w:left w:val="single" w:sz="4" w:color="BFBFBF"/>
              <w:bottom w:val="single" w:sz="4" w:color="BFBFBF"/>
              <w:right w:val="single" w:sz="4" w:color="BFBFBF"/>
            </w:tcBorders>
            <w:vAlign w:val="center"/>
          </w:tcPr>
          <w:p>
            <w:pPr>
              <w:jc w:val="left"/>
            </w:pPr>
            <w:r>
              <w:rPr>
                <w:rFonts w:ascii="Calibri" w:hAnsi="Calibri"/>
                <w:b/>
                <w:color w:val="FFFFFF"/>
                <w:sz w:val="20"/>
              </w:rPr>
              <w:t>Ticker</w:t>
            </w:r>
          </w:p>
        </w:tc>
        <w:tc>
          <w:tcPr>
            <w:tcW w:type="dxa" w:w="3456"/>
            <w:shd w:fill="1F4E79" w:val="clear"/>
            <w:tcBorders>
              <w:top w:val="single" w:sz="4" w:color="BFBFBF"/>
              <w:left w:val="single" w:sz="4" w:color="BFBFBF"/>
              <w:bottom w:val="single" w:sz="4" w:color="BFBFBF"/>
              <w:right w:val="single" w:sz="4" w:color="BFBFBF"/>
            </w:tcBorders>
            <w:vAlign w:val="center"/>
          </w:tcPr>
          <w:p>
            <w:pPr>
              <w:jc w:val="left"/>
            </w:pPr>
            <w:r>
              <w:rPr>
                <w:rFonts w:ascii="Calibri" w:hAnsi="Calibri"/>
                <w:b/>
                <w:color w:val="FFFFFF"/>
                <w:sz w:val="20"/>
              </w:rPr>
              <w:t>Sector</w:t>
            </w:r>
          </w:p>
        </w:tc>
        <w:tc>
          <w:tcPr>
            <w:tcW w:type="dxa" w:w="1440"/>
            <w:shd w:fill="1F4E79" w:val="clear"/>
            <w:tcBorders>
              <w:top w:val="single" w:sz="4" w:color="BFBFBF"/>
              <w:left w:val="single" w:sz="4" w:color="BFBFBF"/>
              <w:bottom w:val="single" w:sz="4" w:color="BFBFBF"/>
              <w:right w:val="single" w:sz="4" w:color="BFBFBF"/>
            </w:tcBorders>
            <w:vAlign w:val="center"/>
          </w:tcPr>
          <w:p>
            <w:pPr>
              <w:jc w:val="left"/>
            </w:pPr>
            <w:r>
              <w:rPr>
                <w:rFonts w:ascii="Calibri" w:hAnsi="Calibri"/>
                <w:b/>
                <w:color w:val="FFFFFF"/>
                <w:sz w:val="20"/>
              </w:rPr>
              <w:t>Weight</w:t>
            </w:r>
          </w:p>
        </w:tc>
      </w:tr>
      <w:tr>
        <w:tc>
          <w:tcPr>
            <w:tcW w:type="dxa" w:w="1728"/>
            <w:tcBorders>
              <w:top w:val="single" w:sz="4" w:color="BFBFBF"/>
              <w:left w:val="single" w:sz="4" w:color="BFBFBF"/>
              <w:bottom w:val="single" w:sz="4" w:color="BFBFBF"/>
              <w:right w:val="single" w:sz="4" w:color="BFBFBF"/>
            </w:tcBorders>
            <w:vAlign w:val="top"/>
          </w:tcPr>
          <w:p>
            <w:r>
              <w:rPr>
                <w:rFonts w:ascii="Calibri" w:hAnsi="Calibri"/>
                <w:sz w:val="18"/>
              </w:rPr>
              <w:t>NVDA</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Technology</w:t>
            </w:r>
          </w:p>
        </w:tc>
        <w:tc>
          <w:tcPr>
            <w:tcW w:type="dxa" w:w="1440"/>
            <w:tcBorders>
              <w:top w:val="single" w:sz="4" w:color="BFBFBF"/>
              <w:left w:val="single" w:sz="4" w:color="BFBFBF"/>
              <w:bottom w:val="single" w:sz="4" w:color="BFBFBF"/>
              <w:right w:val="single" w:sz="4" w:color="BFBFBF"/>
            </w:tcBorders>
            <w:vAlign w:val="top"/>
          </w:tcPr>
          <w:p>
            <w:r>
              <w:rPr>
                <w:rFonts w:ascii="Calibri" w:hAnsi="Calibri"/>
                <w:sz w:val="18"/>
              </w:rPr>
              <w:t>6.5%</w:t>
            </w:r>
          </w:p>
        </w:tc>
      </w:tr>
      <w:tr>
        <w:tc>
          <w:tcPr>
            <w:tcW w:type="dxa" w:w="1728"/>
            <w:tcBorders>
              <w:top w:val="single" w:sz="4" w:color="BFBFBF"/>
              <w:left w:val="single" w:sz="4" w:color="BFBFBF"/>
              <w:bottom w:val="single" w:sz="4" w:color="BFBFBF"/>
              <w:right w:val="single" w:sz="4" w:color="BFBFBF"/>
            </w:tcBorders>
            <w:vAlign w:val="top"/>
          </w:tcPr>
          <w:p>
            <w:r>
              <w:rPr>
                <w:rFonts w:ascii="Calibri" w:hAnsi="Calibri"/>
                <w:sz w:val="18"/>
              </w:rPr>
              <w:t>AMZN</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Technology</w:t>
            </w:r>
          </w:p>
        </w:tc>
        <w:tc>
          <w:tcPr>
            <w:tcW w:type="dxa" w:w="1440"/>
            <w:tcBorders>
              <w:top w:val="single" w:sz="4" w:color="BFBFBF"/>
              <w:left w:val="single" w:sz="4" w:color="BFBFBF"/>
              <w:bottom w:val="single" w:sz="4" w:color="BFBFBF"/>
              <w:right w:val="single" w:sz="4" w:color="BFBFBF"/>
            </w:tcBorders>
            <w:vAlign w:val="top"/>
          </w:tcPr>
          <w:p>
            <w:r>
              <w:rPr>
                <w:rFonts w:ascii="Calibri" w:hAnsi="Calibri"/>
                <w:sz w:val="18"/>
              </w:rPr>
              <w:t>5.5%</w:t>
            </w:r>
          </w:p>
        </w:tc>
      </w:tr>
      <w:tr>
        <w:tc>
          <w:tcPr>
            <w:tcW w:type="dxa" w:w="1728"/>
            <w:tcBorders>
              <w:top w:val="single" w:sz="4" w:color="BFBFBF"/>
              <w:left w:val="single" w:sz="4" w:color="BFBFBF"/>
              <w:bottom w:val="single" w:sz="4" w:color="BFBFBF"/>
              <w:right w:val="single" w:sz="4" w:color="BFBFBF"/>
            </w:tcBorders>
            <w:vAlign w:val="top"/>
          </w:tcPr>
          <w:p>
            <w:r>
              <w:rPr>
                <w:rFonts w:ascii="Calibri" w:hAnsi="Calibri"/>
                <w:sz w:val="18"/>
              </w:rPr>
              <w:t>META</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Comm. Services</w:t>
            </w:r>
          </w:p>
        </w:tc>
        <w:tc>
          <w:tcPr>
            <w:tcW w:type="dxa" w:w="1440"/>
            <w:tcBorders>
              <w:top w:val="single" w:sz="4" w:color="BFBFBF"/>
              <w:left w:val="single" w:sz="4" w:color="BFBFBF"/>
              <w:bottom w:val="single" w:sz="4" w:color="BFBFBF"/>
              <w:right w:val="single" w:sz="4" w:color="BFBFBF"/>
            </w:tcBorders>
            <w:vAlign w:val="top"/>
          </w:tcPr>
          <w:p>
            <w:r>
              <w:rPr>
                <w:rFonts w:ascii="Calibri" w:hAnsi="Calibri"/>
                <w:sz w:val="18"/>
              </w:rPr>
              <w:t>4.5%</w:t>
            </w:r>
          </w:p>
        </w:tc>
      </w:tr>
      <w:tr>
        <w:tc>
          <w:tcPr>
            <w:tcW w:type="dxa" w:w="1728"/>
            <w:tcBorders>
              <w:top w:val="single" w:sz="4" w:color="BFBFBF"/>
              <w:left w:val="single" w:sz="4" w:color="BFBFBF"/>
              <w:bottom w:val="single" w:sz="4" w:color="BFBFBF"/>
              <w:right w:val="single" w:sz="4" w:color="BFBFBF"/>
            </w:tcBorders>
            <w:vAlign w:val="top"/>
          </w:tcPr>
          <w:p>
            <w:r>
              <w:rPr>
                <w:rFonts w:ascii="Calibri" w:hAnsi="Calibri"/>
                <w:sz w:val="18"/>
              </w:rPr>
              <w:t>LLY</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Healthcare</w:t>
            </w:r>
          </w:p>
        </w:tc>
        <w:tc>
          <w:tcPr>
            <w:tcW w:type="dxa" w:w="1440"/>
            <w:tcBorders>
              <w:top w:val="single" w:sz="4" w:color="BFBFBF"/>
              <w:left w:val="single" w:sz="4" w:color="BFBFBF"/>
              <w:bottom w:val="single" w:sz="4" w:color="BFBFBF"/>
              <w:right w:val="single" w:sz="4" w:color="BFBFBF"/>
            </w:tcBorders>
            <w:vAlign w:val="top"/>
          </w:tcPr>
          <w:p>
            <w:r>
              <w:rPr>
                <w:rFonts w:ascii="Calibri" w:hAnsi="Calibri"/>
                <w:sz w:val="18"/>
              </w:rPr>
              <w:t>4.5%</w:t>
            </w:r>
          </w:p>
        </w:tc>
      </w:tr>
      <w:tr>
        <w:tc>
          <w:tcPr>
            <w:tcW w:type="dxa" w:w="1728"/>
            <w:tcBorders>
              <w:top w:val="single" w:sz="4" w:color="BFBFBF"/>
              <w:left w:val="single" w:sz="4" w:color="BFBFBF"/>
              <w:bottom w:val="single" w:sz="4" w:color="BFBFBF"/>
              <w:right w:val="single" w:sz="4" w:color="BFBFBF"/>
            </w:tcBorders>
            <w:vAlign w:val="top"/>
          </w:tcPr>
          <w:p>
            <w:r>
              <w:rPr>
                <w:rFonts w:ascii="Calibri" w:hAnsi="Calibri"/>
                <w:sz w:val="18"/>
              </w:rPr>
              <w:t>JPM</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Financials</w:t>
            </w:r>
          </w:p>
        </w:tc>
        <w:tc>
          <w:tcPr>
            <w:tcW w:type="dxa" w:w="1440"/>
            <w:tcBorders>
              <w:top w:val="single" w:sz="4" w:color="BFBFBF"/>
              <w:left w:val="single" w:sz="4" w:color="BFBFBF"/>
              <w:bottom w:val="single" w:sz="4" w:color="BFBFBF"/>
              <w:right w:val="single" w:sz="4" w:color="BFBFBF"/>
            </w:tcBorders>
            <w:vAlign w:val="top"/>
          </w:tcPr>
          <w:p>
            <w:r>
              <w:rPr>
                <w:rFonts w:ascii="Calibri" w:hAnsi="Calibri"/>
                <w:sz w:val="18"/>
              </w:rPr>
              <w:t>4.5%</w:t>
            </w:r>
          </w:p>
        </w:tc>
      </w:tr>
      <w:tr>
        <w:tc>
          <w:tcPr>
            <w:tcW w:type="dxa" w:w="1728"/>
            <w:tcBorders>
              <w:top w:val="single" w:sz="4" w:color="BFBFBF"/>
              <w:left w:val="single" w:sz="4" w:color="BFBFBF"/>
              <w:bottom w:val="single" w:sz="4" w:color="BFBFBF"/>
              <w:right w:val="single" w:sz="4" w:color="BFBFBF"/>
            </w:tcBorders>
            <w:vAlign w:val="top"/>
          </w:tcPr>
          <w:p>
            <w:r>
              <w:rPr>
                <w:rFonts w:ascii="Calibri" w:hAnsi="Calibri"/>
                <w:sz w:val="18"/>
              </w:rPr>
              <w:t>AVGO</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Technology</w:t>
            </w:r>
          </w:p>
        </w:tc>
        <w:tc>
          <w:tcPr>
            <w:tcW w:type="dxa" w:w="1440"/>
            <w:tcBorders>
              <w:top w:val="single" w:sz="4" w:color="BFBFBF"/>
              <w:left w:val="single" w:sz="4" w:color="BFBFBF"/>
              <w:bottom w:val="single" w:sz="4" w:color="BFBFBF"/>
              <w:right w:val="single" w:sz="4" w:color="BFBFBF"/>
            </w:tcBorders>
            <w:vAlign w:val="top"/>
          </w:tcPr>
          <w:p>
            <w:r>
              <w:rPr>
                <w:rFonts w:ascii="Calibri" w:hAnsi="Calibri"/>
                <w:sz w:val="18"/>
              </w:rPr>
              <w:t>4.0%</w:t>
            </w:r>
          </w:p>
        </w:tc>
      </w:tr>
      <w:tr>
        <w:tc>
          <w:tcPr>
            <w:tcW w:type="dxa" w:w="1728"/>
            <w:tcBorders>
              <w:top w:val="single" w:sz="4" w:color="BFBFBF"/>
              <w:left w:val="single" w:sz="4" w:color="BFBFBF"/>
              <w:bottom w:val="single" w:sz="4" w:color="BFBFBF"/>
              <w:right w:val="single" w:sz="4" w:color="BFBFBF"/>
            </w:tcBorders>
            <w:vAlign w:val="top"/>
          </w:tcPr>
          <w:p>
            <w:r>
              <w:rPr>
                <w:rFonts w:ascii="Calibri" w:hAnsi="Calibri"/>
                <w:sz w:val="18"/>
              </w:rPr>
              <w:t>MSFT</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Technology</w:t>
            </w:r>
          </w:p>
        </w:tc>
        <w:tc>
          <w:tcPr>
            <w:tcW w:type="dxa" w:w="1440"/>
            <w:tcBorders>
              <w:top w:val="single" w:sz="4" w:color="BFBFBF"/>
              <w:left w:val="single" w:sz="4" w:color="BFBFBF"/>
              <w:bottom w:val="single" w:sz="4" w:color="BFBFBF"/>
              <w:right w:val="single" w:sz="4" w:color="BFBFBF"/>
            </w:tcBorders>
            <w:vAlign w:val="top"/>
          </w:tcPr>
          <w:p>
            <w:r>
              <w:rPr>
                <w:rFonts w:ascii="Calibri" w:hAnsi="Calibri"/>
                <w:sz w:val="18"/>
              </w:rPr>
              <w:t>4.0%</w:t>
            </w:r>
          </w:p>
        </w:tc>
      </w:tr>
      <w:tr>
        <w:tc>
          <w:tcPr>
            <w:tcW w:type="dxa" w:w="1728"/>
            <w:tcBorders>
              <w:top w:val="single" w:sz="4" w:color="BFBFBF"/>
              <w:left w:val="single" w:sz="4" w:color="BFBFBF"/>
              <w:bottom w:val="single" w:sz="4" w:color="BFBFBF"/>
              <w:right w:val="single" w:sz="4" w:color="BFBFBF"/>
            </w:tcBorders>
            <w:vAlign w:val="top"/>
          </w:tcPr>
          <w:p>
            <w:r>
              <w:rPr>
                <w:rFonts w:ascii="Calibri" w:hAnsi="Calibri"/>
                <w:sz w:val="18"/>
              </w:rPr>
              <w:t>PANW</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Technology</w:t>
            </w:r>
          </w:p>
        </w:tc>
        <w:tc>
          <w:tcPr>
            <w:tcW w:type="dxa" w:w="1440"/>
            <w:tcBorders>
              <w:top w:val="single" w:sz="4" w:color="BFBFBF"/>
              <w:left w:val="single" w:sz="4" w:color="BFBFBF"/>
              <w:bottom w:val="single" w:sz="4" w:color="BFBFBF"/>
              <w:right w:val="single" w:sz="4" w:color="BFBFBF"/>
            </w:tcBorders>
            <w:vAlign w:val="top"/>
          </w:tcPr>
          <w:p>
            <w:r>
              <w:rPr>
                <w:rFonts w:ascii="Calibri" w:hAnsi="Calibri"/>
                <w:sz w:val="18"/>
              </w:rPr>
              <w:t>4.0%</w:t>
            </w:r>
          </w:p>
        </w:tc>
      </w:tr>
      <w:tr>
        <w:tc>
          <w:tcPr>
            <w:tcW w:type="dxa" w:w="1728"/>
            <w:tcBorders>
              <w:top w:val="single" w:sz="4" w:color="BFBFBF"/>
              <w:left w:val="single" w:sz="4" w:color="BFBFBF"/>
              <w:bottom w:val="single" w:sz="4" w:color="BFBFBF"/>
              <w:right w:val="single" w:sz="4" w:color="BFBFBF"/>
            </w:tcBorders>
            <w:vAlign w:val="top"/>
          </w:tcPr>
          <w:p>
            <w:r>
              <w:rPr>
                <w:rFonts w:ascii="Calibri" w:hAnsi="Calibri"/>
                <w:sz w:val="18"/>
              </w:rPr>
              <w:t>QQQ</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ETF</w:t>
            </w:r>
          </w:p>
        </w:tc>
        <w:tc>
          <w:tcPr>
            <w:tcW w:type="dxa" w:w="1440"/>
            <w:tcBorders>
              <w:top w:val="single" w:sz="4" w:color="BFBFBF"/>
              <w:left w:val="single" w:sz="4" w:color="BFBFBF"/>
              <w:bottom w:val="single" w:sz="4" w:color="BFBFBF"/>
              <w:right w:val="single" w:sz="4" w:color="BFBFBF"/>
            </w:tcBorders>
            <w:vAlign w:val="top"/>
          </w:tcPr>
          <w:p>
            <w:r>
              <w:rPr>
                <w:rFonts w:ascii="Calibri" w:hAnsi="Calibri"/>
                <w:sz w:val="18"/>
              </w:rPr>
              <w:t>3.5%</w:t>
            </w:r>
          </w:p>
        </w:tc>
      </w:tr>
      <w:tr>
        <w:tc>
          <w:tcPr>
            <w:tcW w:type="dxa" w:w="1728"/>
            <w:tcBorders>
              <w:top w:val="single" w:sz="4" w:color="BFBFBF"/>
              <w:left w:val="single" w:sz="4" w:color="BFBFBF"/>
              <w:bottom w:val="single" w:sz="4" w:color="BFBFBF"/>
              <w:right w:val="single" w:sz="4" w:color="BFBFBF"/>
            </w:tcBorders>
            <w:vAlign w:val="top"/>
          </w:tcPr>
          <w:p>
            <w:r>
              <w:rPr>
                <w:rFonts w:ascii="Calibri" w:hAnsi="Calibri"/>
                <w:sz w:val="18"/>
              </w:rPr>
              <w:t>ORCL</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Technology</w:t>
            </w:r>
          </w:p>
        </w:tc>
        <w:tc>
          <w:tcPr>
            <w:tcW w:type="dxa" w:w="1440"/>
            <w:tcBorders>
              <w:top w:val="single" w:sz="4" w:color="BFBFBF"/>
              <w:left w:val="single" w:sz="4" w:color="BFBFBF"/>
              <w:bottom w:val="single" w:sz="4" w:color="BFBFBF"/>
              <w:right w:val="single" w:sz="4" w:color="BFBFBF"/>
            </w:tcBorders>
            <w:vAlign w:val="top"/>
          </w:tcPr>
          <w:p>
            <w:r>
              <w:rPr>
                <w:rFonts w:ascii="Calibri" w:hAnsi="Calibri"/>
                <w:sz w:val="18"/>
              </w:rPr>
              <w:t>3.5%</w:t>
            </w:r>
          </w:p>
        </w:tc>
      </w:tr>
      <w:tr>
        <w:tc>
          <w:tcPr>
            <w:tcW w:type="dxa" w:w="1728"/>
            <w:tcBorders>
              <w:top w:val="single" w:sz="4" w:color="BFBFBF"/>
              <w:left w:val="single" w:sz="4" w:color="BFBFBF"/>
              <w:bottom w:val="single" w:sz="4" w:color="BFBFBF"/>
              <w:right w:val="single" w:sz="4" w:color="BFBFBF"/>
            </w:tcBorders>
            <w:vAlign w:val="top"/>
          </w:tcPr>
          <w:p>
            <w:r>
              <w:rPr>
                <w:rFonts w:ascii="Calibri" w:hAnsi="Calibri"/>
                <w:sz w:val="18"/>
              </w:rPr>
              <w:t>GOOGL</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Comm. Services</w:t>
            </w:r>
          </w:p>
        </w:tc>
        <w:tc>
          <w:tcPr>
            <w:tcW w:type="dxa" w:w="1440"/>
            <w:tcBorders>
              <w:top w:val="single" w:sz="4" w:color="BFBFBF"/>
              <w:left w:val="single" w:sz="4" w:color="BFBFBF"/>
              <w:bottom w:val="single" w:sz="4" w:color="BFBFBF"/>
              <w:right w:val="single" w:sz="4" w:color="BFBFBF"/>
            </w:tcBorders>
            <w:vAlign w:val="top"/>
          </w:tcPr>
          <w:p>
            <w:r>
              <w:rPr>
                <w:rFonts w:ascii="Calibri" w:hAnsi="Calibri"/>
                <w:sz w:val="18"/>
              </w:rPr>
              <w:t>3.0%</w:t>
            </w:r>
          </w:p>
        </w:tc>
      </w:tr>
      <w:tr>
        <w:tc>
          <w:tcPr>
            <w:tcW w:type="dxa" w:w="1728"/>
            <w:tcBorders>
              <w:top w:val="single" w:sz="4" w:color="BFBFBF"/>
              <w:left w:val="single" w:sz="4" w:color="BFBFBF"/>
              <w:bottom w:val="single" w:sz="4" w:color="BFBFBF"/>
              <w:right w:val="single" w:sz="4" w:color="BFBFBF"/>
            </w:tcBorders>
            <w:vAlign w:val="top"/>
          </w:tcPr>
          <w:p>
            <w:r>
              <w:rPr>
                <w:rFonts w:ascii="Calibri" w:hAnsi="Calibri"/>
                <w:sz w:val="18"/>
              </w:rPr>
              <w:t>PLTR</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Technology</w:t>
            </w:r>
          </w:p>
        </w:tc>
        <w:tc>
          <w:tcPr>
            <w:tcW w:type="dxa" w:w="1440"/>
            <w:tcBorders>
              <w:top w:val="single" w:sz="4" w:color="BFBFBF"/>
              <w:left w:val="single" w:sz="4" w:color="BFBFBF"/>
              <w:bottom w:val="single" w:sz="4" w:color="BFBFBF"/>
              <w:right w:val="single" w:sz="4" w:color="BFBFBF"/>
            </w:tcBorders>
            <w:vAlign w:val="top"/>
          </w:tcPr>
          <w:p>
            <w:r>
              <w:rPr>
                <w:rFonts w:ascii="Calibri" w:hAnsi="Calibri"/>
                <w:sz w:val="18"/>
              </w:rPr>
              <w:t>3.0%</w:t>
            </w:r>
          </w:p>
        </w:tc>
      </w:tr>
      <w:tr>
        <w:tc>
          <w:tcPr>
            <w:tcW w:type="dxa" w:w="1728"/>
            <w:tcBorders>
              <w:top w:val="single" w:sz="4" w:color="BFBFBF"/>
              <w:left w:val="single" w:sz="4" w:color="BFBFBF"/>
              <w:bottom w:val="single" w:sz="4" w:color="BFBFBF"/>
              <w:right w:val="single" w:sz="4" w:color="BFBFBF"/>
            </w:tcBorders>
            <w:vAlign w:val="top"/>
          </w:tcPr>
          <w:p>
            <w:r>
              <w:rPr>
                <w:rFonts w:ascii="Calibri" w:hAnsi="Calibri"/>
                <w:sz w:val="18"/>
              </w:rPr>
              <w:t>UNH</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Healthcare</w:t>
            </w:r>
          </w:p>
        </w:tc>
        <w:tc>
          <w:tcPr>
            <w:tcW w:type="dxa" w:w="1440"/>
            <w:tcBorders>
              <w:top w:val="single" w:sz="4" w:color="BFBFBF"/>
              <w:left w:val="single" w:sz="4" w:color="BFBFBF"/>
              <w:bottom w:val="single" w:sz="4" w:color="BFBFBF"/>
              <w:right w:val="single" w:sz="4" w:color="BFBFBF"/>
            </w:tcBorders>
            <w:vAlign w:val="top"/>
          </w:tcPr>
          <w:p>
            <w:r>
              <w:rPr>
                <w:rFonts w:ascii="Calibri" w:hAnsi="Calibri"/>
                <w:sz w:val="18"/>
              </w:rPr>
              <w:t>3.0%</w:t>
            </w:r>
          </w:p>
        </w:tc>
      </w:tr>
      <w:tr>
        <w:tc>
          <w:tcPr>
            <w:tcW w:type="dxa" w:w="1728"/>
            <w:tcBorders>
              <w:top w:val="single" w:sz="4" w:color="BFBFBF"/>
              <w:left w:val="single" w:sz="4" w:color="BFBFBF"/>
              <w:bottom w:val="single" w:sz="4" w:color="BFBFBF"/>
              <w:right w:val="single" w:sz="4" w:color="BFBFBF"/>
            </w:tcBorders>
            <w:vAlign w:val="top"/>
          </w:tcPr>
          <w:p>
            <w:r>
              <w:rPr>
                <w:rFonts w:ascii="Calibri" w:hAnsi="Calibri"/>
                <w:sz w:val="18"/>
              </w:rPr>
              <w:t>XOM</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Energy</w:t>
            </w:r>
          </w:p>
        </w:tc>
        <w:tc>
          <w:tcPr>
            <w:tcW w:type="dxa" w:w="1440"/>
            <w:tcBorders>
              <w:top w:val="single" w:sz="4" w:color="BFBFBF"/>
              <w:left w:val="single" w:sz="4" w:color="BFBFBF"/>
              <w:bottom w:val="single" w:sz="4" w:color="BFBFBF"/>
              <w:right w:val="single" w:sz="4" w:color="BFBFBF"/>
            </w:tcBorders>
            <w:vAlign w:val="top"/>
          </w:tcPr>
          <w:p>
            <w:r>
              <w:rPr>
                <w:rFonts w:ascii="Calibri" w:hAnsi="Calibri"/>
                <w:sz w:val="18"/>
              </w:rPr>
              <w:t>3.0%</w:t>
            </w:r>
          </w:p>
        </w:tc>
      </w:tr>
      <w:tr>
        <w:tc>
          <w:tcPr>
            <w:tcW w:type="dxa" w:w="1728"/>
            <w:tcBorders>
              <w:top w:val="single" w:sz="4" w:color="BFBFBF"/>
              <w:left w:val="single" w:sz="4" w:color="BFBFBF"/>
              <w:bottom w:val="single" w:sz="4" w:color="BFBFBF"/>
              <w:right w:val="single" w:sz="4" w:color="BFBFBF"/>
            </w:tcBorders>
            <w:vAlign w:val="top"/>
          </w:tcPr>
          <w:p>
            <w:r>
              <w:rPr>
                <w:rFonts w:ascii="Calibri" w:hAnsi="Calibri"/>
                <w:sz w:val="18"/>
              </w:rPr>
              <w:t>V</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Financials</w:t>
            </w:r>
          </w:p>
        </w:tc>
        <w:tc>
          <w:tcPr>
            <w:tcW w:type="dxa" w:w="1440"/>
            <w:tcBorders>
              <w:top w:val="single" w:sz="4" w:color="BFBFBF"/>
              <w:left w:val="single" w:sz="4" w:color="BFBFBF"/>
              <w:bottom w:val="single" w:sz="4" w:color="BFBFBF"/>
              <w:right w:val="single" w:sz="4" w:color="BFBFBF"/>
            </w:tcBorders>
            <w:vAlign w:val="top"/>
          </w:tcPr>
          <w:p>
            <w:r>
              <w:rPr>
                <w:rFonts w:ascii="Calibri" w:hAnsi="Calibri"/>
                <w:sz w:val="18"/>
              </w:rPr>
              <w:t>3.0%</w:t>
            </w:r>
          </w:p>
        </w:tc>
      </w:tr>
      <w:tr>
        <w:tc>
          <w:tcPr>
            <w:tcW w:type="dxa" w:w="1728"/>
            <w:tcBorders>
              <w:top w:val="single" w:sz="4" w:color="BFBFBF"/>
              <w:left w:val="single" w:sz="4" w:color="BFBFBF"/>
              <w:bottom w:val="single" w:sz="4" w:color="BFBFBF"/>
              <w:right w:val="single" w:sz="4" w:color="BFBFBF"/>
            </w:tcBorders>
            <w:vAlign w:val="top"/>
          </w:tcPr>
          <w:p>
            <w:r>
              <w:rPr>
                <w:rFonts w:ascii="Calibri" w:hAnsi="Calibri"/>
                <w:sz w:val="18"/>
              </w:rPr>
              <w:t>TSM</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Technology</w:t>
            </w:r>
          </w:p>
        </w:tc>
        <w:tc>
          <w:tcPr>
            <w:tcW w:type="dxa" w:w="1440"/>
            <w:tcBorders>
              <w:top w:val="single" w:sz="4" w:color="BFBFBF"/>
              <w:left w:val="single" w:sz="4" w:color="BFBFBF"/>
              <w:bottom w:val="single" w:sz="4" w:color="BFBFBF"/>
              <w:right w:val="single" w:sz="4" w:color="BFBFBF"/>
            </w:tcBorders>
            <w:vAlign w:val="top"/>
          </w:tcPr>
          <w:p>
            <w:r>
              <w:rPr>
                <w:rFonts w:ascii="Calibri" w:hAnsi="Calibri"/>
                <w:sz w:val="18"/>
              </w:rPr>
              <w:t>3.0%</w:t>
            </w:r>
          </w:p>
        </w:tc>
      </w:tr>
      <w:tr>
        <w:tc>
          <w:tcPr>
            <w:tcW w:type="dxa" w:w="1728"/>
            <w:tcBorders>
              <w:top w:val="single" w:sz="4" w:color="BFBFBF"/>
              <w:left w:val="single" w:sz="4" w:color="BFBFBF"/>
              <w:bottom w:val="single" w:sz="4" w:color="BFBFBF"/>
              <w:right w:val="single" w:sz="4" w:color="BFBFBF"/>
            </w:tcBorders>
            <w:vAlign w:val="top"/>
          </w:tcPr>
          <w:p>
            <w:r>
              <w:rPr>
                <w:rFonts w:ascii="Calibri" w:hAnsi="Calibri"/>
                <w:sz w:val="18"/>
              </w:rPr>
              <w:t>MU</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Technology</w:t>
            </w:r>
          </w:p>
        </w:tc>
        <w:tc>
          <w:tcPr>
            <w:tcW w:type="dxa" w:w="1440"/>
            <w:tcBorders>
              <w:top w:val="single" w:sz="4" w:color="BFBFBF"/>
              <w:left w:val="single" w:sz="4" w:color="BFBFBF"/>
              <w:bottom w:val="single" w:sz="4" w:color="BFBFBF"/>
              <w:right w:val="single" w:sz="4" w:color="BFBFBF"/>
            </w:tcBorders>
            <w:vAlign w:val="top"/>
          </w:tcPr>
          <w:p>
            <w:r>
              <w:rPr>
                <w:rFonts w:ascii="Calibri" w:hAnsi="Calibri"/>
                <w:sz w:val="18"/>
              </w:rPr>
              <w:t>2.5%</w:t>
            </w:r>
          </w:p>
        </w:tc>
      </w:tr>
      <w:tr>
        <w:tc>
          <w:tcPr>
            <w:tcW w:type="dxa" w:w="1728"/>
            <w:tcBorders>
              <w:top w:val="single" w:sz="4" w:color="BFBFBF"/>
              <w:left w:val="single" w:sz="4" w:color="BFBFBF"/>
              <w:bottom w:val="single" w:sz="4" w:color="BFBFBF"/>
              <w:right w:val="single" w:sz="4" w:color="BFBFBF"/>
            </w:tcBorders>
            <w:vAlign w:val="top"/>
          </w:tcPr>
          <w:p>
            <w:r>
              <w:rPr>
                <w:rFonts w:ascii="Calibri" w:hAnsi="Calibri"/>
                <w:sz w:val="18"/>
              </w:rPr>
              <w:t>EOG</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Energy</w:t>
            </w:r>
          </w:p>
        </w:tc>
        <w:tc>
          <w:tcPr>
            <w:tcW w:type="dxa" w:w="1440"/>
            <w:tcBorders>
              <w:top w:val="single" w:sz="4" w:color="BFBFBF"/>
              <w:left w:val="single" w:sz="4" w:color="BFBFBF"/>
              <w:bottom w:val="single" w:sz="4" w:color="BFBFBF"/>
              <w:right w:val="single" w:sz="4" w:color="BFBFBF"/>
            </w:tcBorders>
            <w:vAlign w:val="top"/>
          </w:tcPr>
          <w:p>
            <w:r>
              <w:rPr>
                <w:rFonts w:ascii="Calibri" w:hAnsi="Calibri"/>
                <w:sz w:val="18"/>
              </w:rPr>
              <w:t>2.5%</w:t>
            </w:r>
          </w:p>
        </w:tc>
      </w:tr>
      <w:tr>
        <w:tc>
          <w:tcPr>
            <w:tcW w:type="dxa" w:w="1728"/>
            <w:tcBorders>
              <w:top w:val="single" w:sz="4" w:color="BFBFBF"/>
              <w:left w:val="single" w:sz="4" w:color="BFBFBF"/>
              <w:bottom w:val="single" w:sz="4" w:color="BFBFBF"/>
              <w:right w:val="single" w:sz="4" w:color="BFBFBF"/>
            </w:tcBorders>
            <w:vAlign w:val="top"/>
          </w:tcPr>
          <w:p>
            <w:r>
              <w:rPr>
                <w:rFonts w:ascii="Calibri" w:hAnsi="Calibri"/>
                <w:sz w:val="18"/>
              </w:rPr>
              <w:t>COST</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Cons. Staples</w:t>
            </w:r>
          </w:p>
        </w:tc>
        <w:tc>
          <w:tcPr>
            <w:tcW w:type="dxa" w:w="1440"/>
            <w:tcBorders>
              <w:top w:val="single" w:sz="4" w:color="BFBFBF"/>
              <w:left w:val="single" w:sz="4" w:color="BFBFBF"/>
              <w:bottom w:val="single" w:sz="4" w:color="BFBFBF"/>
              <w:right w:val="single" w:sz="4" w:color="BFBFBF"/>
            </w:tcBorders>
            <w:vAlign w:val="top"/>
          </w:tcPr>
          <w:p>
            <w:r>
              <w:rPr>
                <w:rFonts w:ascii="Calibri" w:hAnsi="Calibri"/>
                <w:sz w:val="18"/>
              </w:rPr>
              <w:t>2.5%</w:t>
            </w:r>
          </w:p>
        </w:tc>
      </w:tr>
      <w:tr>
        <w:tc>
          <w:tcPr>
            <w:tcW w:type="dxa" w:w="1728"/>
            <w:tcBorders>
              <w:top w:val="single" w:sz="4" w:color="BFBFBF"/>
              <w:left w:val="single" w:sz="4" w:color="BFBFBF"/>
              <w:bottom w:val="single" w:sz="4" w:color="BFBFBF"/>
              <w:right w:val="single" w:sz="4" w:color="BFBFBF"/>
            </w:tcBorders>
            <w:vAlign w:val="top"/>
          </w:tcPr>
          <w:p>
            <w:r>
              <w:rPr>
                <w:rFonts w:ascii="Calibri" w:hAnsi="Calibri"/>
                <w:sz w:val="18"/>
              </w:rPr>
              <w:t>VUG</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ETF</w:t>
            </w:r>
          </w:p>
        </w:tc>
        <w:tc>
          <w:tcPr>
            <w:tcW w:type="dxa" w:w="1440"/>
            <w:tcBorders>
              <w:top w:val="single" w:sz="4" w:color="BFBFBF"/>
              <w:left w:val="single" w:sz="4" w:color="BFBFBF"/>
              <w:bottom w:val="single" w:sz="4" w:color="BFBFBF"/>
              <w:right w:val="single" w:sz="4" w:color="BFBFBF"/>
            </w:tcBorders>
            <w:vAlign w:val="top"/>
          </w:tcPr>
          <w:p>
            <w:r>
              <w:rPr>
                <w:rFonts w:ascii="Calibri" w:hAnsi="Calibri"/>
                <w:sz w:val="18"/>
              </w:rPr>
              <w:t>2.5%</w:t>
            </w:r>
          </w:p>
        </w:tc>
      </w:tr>
      <w:tr>
        <w:tc>
          <w:tcPr>
            <w:tcW w:type="dxa" w:w="1728"/>
            <w:tcBorders>
              <w:top w:val="single" w:sz="4" w:color="BFBFBF"/>
              <w:left w:val="single" w:sz="4" w:color="BFBFBF"/>
              <w:bottom w:val="single" w:sz="4" w:color="BFBFBF"/>
              <w:right w:val="single" w:sz="4" w:color="BFBFBF"/>
            </w:tcBorders>
            <w:vAlign w:val="top"/>
          </w:tcPr>
          <w:p>
            <w:r>
              <w:rPr>
                <w:rFonts w:ascii="Calibri" w:hAnsi="Calibri"/>
                <w:sz w:val="18"/>
              </w:rPr>
              <w:t>SCHD</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ETF</w:t>
            </w:r>
          </w:p>
        </w:tc>
        <w:tc>
          <w:tcPr>
            <w:tcW w:type="dxa" w:w="1440"/>
            <w:tcBorders>
              <w:top w:val="single" w:sz="4" w:color="BFBFBF"/>
              <w:left w:val="single" w:sz="4" w:color="BFBFBF"/>
              <w:bottom w:val="single" w:sz="4" w:color="BFBFBF"/>
              <w:right w:val="single" w:sz="4" w:color="BFBFBF"/>
            </w:tcBorders>
            <w:vAlign w:val="top"/>
          </w:tcPr>
          <w:p>
            <w:r>
              <w:rPr>
                <w:rFonts w:ascii="Calibri" w:hAnsi="Calibri"/>
                <w:sz w:val="18"/>
              </w:rPr>
              <w:t>2.5%</w:t>
            </w:r>
          </w:p>
        </w:tc>
      </w:tr>
      <w:tr>
        <w:tc>
          <w:tcPr>
            <w:tcW w:type="dxa" w:w="1728"/>
            <w:tcBorders>
              <w:top w:val="single" w:sz="4" w:color="BFBFBF"/>
              <w:left w:val="single" w:sz="4" w:color="BFBFBF"/>
              <w:bottom w:val="single" w:sz="4" w:color="BFBFBF"/>
              <w:right w:val="single" w:sz="4" w:color="BFBFBF"/>
            </w:tcBorders>
            <w:vAlign w:val="top"/>
          </w:tcPr>
          <w:p>
            <w:r>
              <w:rPr>
                <w:rFonts w:ascii="Calibri" w:hAnsi="Calibri"/>
                <w:sz w:val="18"/>
              </w:rPr>
              <w:t>DASH</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Cons. Disc.</w:t>
            </w:r>
          </w:p>
        </w:tc>
        <w:tc>
          <w:tcPr>
            <w:tcW w:type="dxa" w:w="1440"/>
            <w:tcBorders>
              <w:top w:val="single" w:sz="4" w:color="BFBFBF"/>
              <w:left w:val="single" w:sz="4" w:color="BFBFBF"/>
              <w:bottom w:val="single" w:sz="4" w:color="BFBFBF"/>
              <w:right w:val="single" w:sz="4" w:color="BFBFBF"/>
            </w:tcBorders>
            <w:vAlign w:val="top"/>
          </w:tcPr>
          <w:p>
            <w:r>
              <w:rPr>
                <w:rFonts w:ascii="Calibri" w:hAnsi="Calibri"/>
                <w:sz w:val="18"/>
              </w:rPr>
              <w:t>2.0%</w:t>
            </w:r>
          </w:p>
        </w:tc>
      </w:tr>
      <w:tr>
        <w:tc>
          <w:tcPr>
            <w:tcW w:type="dxa" w:w="1728"/>
            <w:tcBorders>
              <w:top w:val="single" w:sz="4" w:color="BFBFBF"/>
              <w:left w:val="single" w:sz="4" w:color="BFBFBF"/>
              <w:bottom w:val="single" w:sz="4" w:color="BFBFBF"/>
              <w:right w:val="single" w:sz="4" w:color="BFBFBF"/>
            </w:tcBorders>
            <w:vAlign w:val="top"/>
          </w:tcPr>
          <w:p>
            <w:r>
              <w:rPr>
                <w:rFonts w:ascii="Calibri" w:hAnsi="Calibri"/>
                <w:sz w:val="18"/>
              </w:rPr>
              <w:t>NEE</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Utilities</w:t>
            </w:r>
          </w:p>
        </w:tc>
        <w:tc>
          <w:tcPr>
            <w:tcW w:type="dxa" w:w="1440"/>
            <w:tcBorders>
              <w:top w:val="single" w:sz="4" w:color="BFBFBF"/>
              <w:left w:val="single" w:sz="4" w:color="BFBFBF"/>
              <w:bottom w:val="single" w:sz="4" w:color="BFBFBF"/>
              <w:right w:val="single" w:sz="4" w:color="BFBFBF"/>
            </w:tcBorders>
            <w:vAlign w:val="top"/>
          </w:tcPr>
          <w:p>
            <w:r>
              <w:rPr>
                <w:rFonts w:ascii="Calibri" w:hAnsi="Calibri"/>
                <w:sz w:val="18"/>
              </w:rPr>
              <w:t>2.0%</w:t>
            </w:r>
          </w:p>
        </w:tc>
      </w:tr>
      <w:tr>
        <w:tc>
          <w:tcPr>
            <w:tcW w:type="dxa" w:w="1728"/>
            <w:tcBorders>
              <w:top w:val="single" w:sz="4" w:color="BFBFBF"/>
              <w:left w:val="single" w:sz="4" w:color="BFBFBF"/>
              <w:bottom w:val="single" w:sz="4" w:color="BFBFBF"/>
              <w:right w:val="single" w:sz="4" w:color="BFBFBF"/>
            </w:tcBorders>
            <w:vAlign w:val="top"/>
          </w:tcPr>
          <w:p>
            <w:r>
              <w:rPr>
                <w:rFonts w:ascii="Calibri" w:hAnsi="Calibri"/>
                <w:sz w:val="18"/>
              </w:rPr>
              <w:t>ABBV</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Healthcare</w:t>
            </w:r>
          </w:p>
        </w:tc>
        <w:tc>
          <w:tcPr>
            <w:tcW w:type="dxa" w:w="1440"/>
            <w:tcBorders>
              <w:top w:val="single" w:sz="4" w:color="BFBFBF"/>
              <w:left w:val="single" w:sz="4" w:color="BFBFBF"/>
              <w:bottom w:val="single" w:sz="4" w:color="BFBFBF"/>
              <w:right w:val="single" w:sz="4" w:color="BFBFBF"/>
            </w:tcBorders>
            <w:vAlign w:val="top"/>
          </w:tcPr>
          <w:p>
            <w:r>
              <w:rPr>
                <w:rFonts w:ascii="Calibri" w:hAnsi="Calibri"/>
                <w:sz w:val="18"/>
              </w:rPr>
              <w:t>1.5%</w:t>
            </w:r>
          </w:p>
        </w:tc>
      </w:tr>
      <w:tr>
        <w:tc>
          <w:tcPr>
            <w:tcW w:type="dxa" w:w="1728"/>
            <w:tcBorders>
              <w:top w:val="single" w:sz="4" w:color="BFBFBF"/>
              <w:left w:val="single" w:sz="4" w:color="BFBFBF"/>
              <w:bottom w:val="single" w:sz="4" w:color="BFBFBF"/>
              <w:right w:val="single" w:sz="4" w:color="BFBFBF"/>
            </w:tcBorders>
            <w:vAlign w:val="top"/>
          </w:tcPr>
          <w:p>
            <w:r>
              <w:rPr>
                <w:rFonts w:ascii="Calibri" w:hAnsi="Calibri"/>
                <w:sz w:val="18"/>
              </w:rPr>
              <w:t>NFLX</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Comm. Services</w:t>
            </w:r>
          </w:p>
        </w:tc>
        <w:tc>
          <w:tcPr>
            <w:tcW w:type="dxa" w:w="1440"/>
            <w:tcBorders>
              <w:top w:val="single" w:sz="4" w:color="BFBFBF"/>
              <w:left w:val="single" w:sz="4" w:color="BFBFBF"/>
              <w:bottom w:val="single" w:sz="4" w:color="BFBFBF"/>
              <w:right w:val="single" w:sz="4" w:color="BFBFBF"/>
            </w:tcBorders>
            <w:vAlign w:val="top"/>
          </w:tcPr>
          <w:p>
            <w:r>
              <w:rPr>
                <w:rFonts w:ascii="Calibri" w:hAnsi="Calibri"/>
                <w:sz w:val="18"/>
              </w:rPr>
              <w:t>1.5%</w:t>
            </w:r>
          </w:p>
        </w:tc>
      </w:tr>
      <w:tr>
        <w:tc>
          <w:tcPr>
            <w:tcW w:type="dxa" w:w="1728"/>
            <w:tcBorders>
              <w:top w:val="single" w:sz="4" w:color="BFBFBF"/>
              <w:left w:val="single" w:sz="4" w:color="BFBFBF"/>
              <w:bottom w:val="single" w:sz="4" w:color="BFBFBF"/>
              <w:right w:val="single" w:sz="4" w:color="BFBFBF"/>
            </w:tcBorders>
            <w:vAlign w:val="top"/>
          </w:tcPr>
          <w:p>
            <w:r>
              <w:rPr>
                <w:rFonts w:ascii="Calibri" w:hAnsi="Calibri"/>
                <w:sz w:val="18"/>
              </w:rPr>
              <w:t>CRWD</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Technology</w:t>
            </w:r>
          </w:p>
        </w:tc>
        <w:tc>
          <w:tcPr>
            <w:tcW w:type="dxa" w:w="1440"/>
            <w:tcBorders>
              <w:top w:val="single" w:sz="4" w:color="BFBFBF"/>
              <w:left w:val="single" w:sz="4" w:color="BFBFBF"/>
              <w:bottom w:val="single" w:sz="4" w:color="BFBFBF"/>
              <w:right w:val="single" w:sz="4" w:color="BFBFBF"/>
            </w:tcBorders>
            <w:vAlign w:val="top"/>
          </w:tcPr>
          <w:p>
            <w:r>
              <w:rPr>
                <w:rFonts w:ascii="Calibri" w:hAnsi="Calibri"/>
                <w:sz w:val="18"/>
              </w:rPr>
              <w:t>1.5%</w:t>
            </w:r>
          </w:p>
        </w:tc>
      </w:tr>
      <w:tr>
        <w:tc>
          <w:tcPr>
            <w:tcW w:type="dxa" w:w="1728"/>
            <w:tcBorders>
              <w:top w:val="single" w:sz="4" w:color="BFBFBF"/>
              <w:left w:val="single" w:sz="4" w:color="BFBFBF"/>
              <w:bottom w:val="single" w:sz="4" w:color="BFBFBF"/>
              <w:right w:val="single" w:sz="4" w:color="BFBFBF"/>
            </w:tcBorders>
            <w:vAlign w:val="top"/>
          </w:tcPr>
          <w:p>
            <w:r>
              <w:rPr>
                <w:rFonts w:ascii="Calibri" w:hAnsi="Calibri"/>
                <w:sz w:val="18"/>
              </w:rPr>
              <w:t>INTC</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Technology</w:t>
            </w:r>
          </w:p>
        </w:tc>
        <w:tc>
          <w:tcPr>
            <w:tcW w:type="dxa" w:w="1440"/>
            <w:tcBorders>
              <w:top w:val="single" w:sz="4" w:color="BFBFBF"/>
              <w:left w:val="single" w:sz="4" w:color="BFBFBF"/>
              <w:bottom w:val="single" w:sz="4" w:color="BFBFBF"/>
              <w:right w:val="single" w:sz="4" w:color="BFBFBF"/>
            </w:tcBorders>
            <w:vAlign w:val="top"/>
          </w:tcPr>
          <w:p>
            <w:r>
              <w:rPr>
                <w:rFonts w:ascii="Calibri" w:hAnsi="Calibri"/>
                <w:sz w:val="18"/>
              </w:rPr>
              <w:t>1.5%</w:t>
            </w:r>
          </w:p>
        </w:tc>
      </w:tr>
      <w:tr>
        <w:tc>
          <w:tcPr>
            <w:tcW w:type="dxa" w:w="1728"/>
            <w:tcBorders>
              <w:top w:val="single" w:sz="4" w:color="BFBFBF"/>
              <w:left w:val="single" w:sz="4" w:color="BFBFBF"/>
              <w:bottom w:val="single" w:sz="4" w:color="BFBFBF"/>
              <w:right w:val="single" w:sz="4" w:color="BFBFBF"/>
            </w:tcBorders>
            <w:vAlign w:val="top"/>
          </w:tcPr>
          <w:p>
            <w:r>
              <w:rPr>
                <w:rFonts w:ascii="Calibri" w:hAnsi="Calibri"/>
                <w:sz w:val="18"/>
              </w:rPr>
              <w:t>CASH</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Cash</w:t>
            </w:r>
          </w:p>
        </w:tc>
        <w:tc>
          <w:tcPr>
            <w:tcW w:type="dxa" w:w="1440"/>
            <w:tcBorders>
              <w:top w:val="single" w:sz="4" w:color="BFBFBF"/>
              <w:left w:val="single" w:sz="4" w:color="BFBFBF"/>
              <w:bottom w:val="single" w:sz="4" w:color="BFBFBF"/>
              <w:right w:val="single" w:sz="4" w:color="BFBFBF"/>
            </w:tcBorders>
            <w:vAlign w:val="top"/>
          </w:tcPr>
          <w:p>
            <w:r>
              <w:rPr>
                <w:rFonts w:ascii="Calibri" w:hAnsi="Calibri"/>
                <w:sz w:val="18"/>
              </w:rPr>
              <w:t>15.0%</w:t>
            </w:r>
          </w:p>
        </w:tc>
      </w:tr>
    </w:tbl>
    <w:p>
      <w:r>
        <w:rPr>
          <w:rFonts w:ascii="Calibri" w:hAnsi="Calibri"/>
          <w:b/>
          <w:color w:val="0B6E3D"/>
          <w:sz w:val="20"/>
        </w:rPr>
        <w:t>Portfolio sum verified: 100.0% = 100.0% ✓</w:t>
      </w:r>
    </w:p>
    <w:p>
      <w:pPr>
        <w:spacing w:before="160" w:after="80"/>
      </w:pPr>
      <w:r>
        <w:rPr>
          <w:rFonts w:ascii="Calibri" w:hAnsi="Calibri"/>
          <w:b/>
          <w:color w:val="365F91"/>
          <w:sz w:val="28"/>
        </w:rPr>
        <w:t>8. Sources &amp; Methodology</w:t>
      </w:r>
    </w:p>
    <w:p>
      <w:pPr>
        <w:pStyle w:val="ListBullet"/>
        <w:spacing w:after="40"/>
      </w:pPr>
      <w:r>
        <w:rPr>
          <w:rFonts w:ascii="Calibri" w:hAnsi="Calibri"/>
          <w:b/>
          <w:sz w:val="18"/>
        </w:rPr>
        <w:t xml:space="preserve">Pre-market futures: </w:t>
      </w:r>
      <w:r>
        <w:rPr>
          <w:rFonts w:ascii="Calibri" w:hAnsi="Calibri"/>
          <w:sz w:val="18"/>
        </w:rPr>
        <w:t>Benzinga / Polymarket / Yahoo Finance — May 15, 2026 (S&amp;P futures -0.37%; 99% lower-open probability).</w:t>
      </w:r>
    </w:p>
    <w:p>
      <w:pPr>
        <w:pStyle w:val="ListBullet"/>
        <w:spacing w:after="40"/>
      </w:pPr>
      <w:r>
        <w:rPr>
          <w:rFonts w:ascii="Calibri" w:hAnsi="Calibri"/>
          <w:b/>
          <w:sz w:val="18"/>
        </w:rPr>
        <w:t xml:space="preserve">Thu 5/14 close: </w:t>
      </w:r>
      <w:r>
        <w:rPr>
          <w:rFonts w:ascii="Calibri" w:hAnsi="Calibri"/>
          <w:sz w:val="18"/>
        </w:rPr>
        <w:t>TheStreet — S&amp;P 7,501.24 (record, +0.77%).</w:t>
      </w:r>
    </w:p>
    <w:p>
      <w:pPr>
        <w:pStyle w:val="ListBullet"/>
        <w:spacing w:after="40"/>
      </w:pPr>
      <w:r>
        <w:rPr>
          <w:rFonts w:ascii="Calibri" w:hAnsi="Calibri"/>
          <w:b/>
          <w:sz w:val="18"/>
        </w:rPr>
        <w:t xml:space="preserve">NVDA: </w:t>
      </w:r>
      <w:r>
        <w:rPr>
          <w:rFonts w:ascii="Calibri" w:hAnsi="Calibri"/>
          <w:sz w:val="18"/>
        </w:rPr>
        <w:t>Robinhood / Yahoo / TradingView — last $237.87; intraday $229.12-$237.96.</w:t>
      </w:r>
    </w:p>
    <w:p>
      <w:pPr>
        <w:pStyle w:val="ListBullet"/>
        <w:spacing w:after="40"/>
      </w:pPr>
      <w:r>
        <w:rPr>
          <w:rFonts w:ascii="Calibri" w:hAnsi="Calibri"/>
          <w:b/>
          <w:sz w:val="18"/>
        </w:rPr>
        <w:t xml:space="preserve">Trump-Beijing wrap: </w:t>
      </w:r>
      <w:r>
        <w:rPr>
          <w:rFonts w:ascii="Calibri" w:hAnsi="Calibri"/>
          <w:sz w:val="18"/>
        </w:rPr>
        <w:t>Fox Business / Semafor / Fortune — 200-jet Boeing deal; NVDA H200 path.</w:t>
      </w:r>
    </w:p>
    <w:p>
      <w:pPr>
        <w:pStyle w:val="ListBullet"/>
        <w:spacing w:after="40"/>
      </w:pPr>
      <w:r>
        <w:rPr>
          <w:rFonts w:ascii="Calibri" w:hAnsi="Calibri"/>
          <w:b/>
          <w:sz w:val="18"/>
        </w:rPr>
        <w:t xml:space="preserve">April PPI: </w:t>
      </w:r>
      <w:r>
        <w:rPr>
          <w:rFonts w:ascii="Calibri" w:hAnsi="Calibri"/>
          <w:sz w:val="18"/>
        </w:rPr>
        <w:t>BLS release; +1.4% m/m / +6.0% y/y; energy +7.8% m/m.</w:t>
      </w:r>
    </w:p>
    <w:p>
      <w:pPr>
        <w:pStyle w:val="ListBullet"/>
        <w:spacing w:after="40"/>
      </w:pPr>
      <w:r>
        <w:rPr>
          <w:rFonts w:ascii="Calibri" w:hAnsi="Calibri"/>
          <w:b/>
          <w:sz w:val="18"/>
        </w:rPr>
        <w:t xml:space="preserve">Oil: </w:t>
      </w:r>
      <w:r>
        <w:rPr>
          <w:rFonts w:ascii="Calibri" w:hAnsi="Calibri"/>
          <w:sz w:val="18"/>
        </w:rPr>
        <w:t>Trading Economics / CNBC May 14-15.</w:t>
      </w:r>
    </w:p>
    <w:p>
      <w:pPr>
        <w:pStyle w:val="ListBullet"/>
        <w:spacing w:after="40"/>
      </w:pPr>
      <w:r>
        <w:rPr>
          <w:rFonts w:ascii="Calibri" w:hAnsi="Calibri"/>
          <w:b/>
          <w:sz w:val="18"/>
        </w:rPr>
        <w:t xml:space="preserve">Tracker (ground truth): </w:t>
      </w:r>
      <w:r>
        <w:rPr>
          <w:rFonts w:ascii="Calibri" w:hAnsi="Calibri"/>
          <w:sz w:val="18"/>
        </w:rPr>
        <w:t>WM_Growth_Portfolio_Apr2026.xlsx — Portfolio Overview (CONFIRMED).</w:t>
      </w:r>
    </w:p>
    <w:p>
      <w:pPr>
        <w:pStyle w:val="ListBullet"/>
        <w:spacing w:after="40"/>
      </w:pPr>
      <w:r>
        <w:rPr>
          <w:rFonts w:ascii="Calibri" w:hAnsi="Calibri"/>
          <w:b/>
          <w:sz w:val="18"/>
        </w:rPr>
        <w:t xml:space="preserve">Provenance: </w:t>
      </w:r>
      <w:r>
        <w:rPr>
          <w:rFonts w:ascii="Calibri" w:hAnsi="Calibri"/>
          <w:sz w:val="18"/>
        </w:rPr>
        <w:t>Index / macro / NVDA prints SOURCED. Weights CONFIRMED. No CALIBRATED figures today.</w:t>
      </w:r>
    </w:p>
    <w:p>
      <w:pPr>
        <w:spacing w:before="120"/>
      </w:pPr>
      <w:r>
        <w:rPr>
          <w:rFonts w:ascii="Calibri" w:hAnsi="Calibri"/>
          <w:i/>
          <w:color w:val="777777"/>
          <w:sz w:val="16"/>
        </w:rPr>
        <w:t>Disclaimer: This report is prepared for the WM Growth Portfolio under IPS v1.0 (effective Apr 21, 2026). Estimates and analyst targets are not investment advice. Past performance is not indicative of future results. All recommendations are constrained by the IPS (max single 7.0%, max sector 35.0%, cash 10–20%, no leverage / options / shorts).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