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cs="Calibri"/>
          <w:b/>
          <w:i w:val="0"/>
          <w:sz w:val="24"/>
        </w:rPr>
        <w:t>DAILY PRE-MARKET — WM GROWTH PORTFOLIO</w:t>
      </w:r>
    </w:p>
    <w:p>
      <w:pPr>
        <w:spacing w:before="0" w:after="0"/>
        <w:pBdr>
          <w:bottom w:val="single" w:sz="6" w:space="1" w:color="B0B0B0"/>
        </w:pBdr>
      </w:pPr>
      <w:r>
        <w:rPr>
          <w:rFonts w:ascii="Calibri" w:hAnsi="Calibri" w:cs="Calibri"/>
          <w:b w:val="0"/>
          <w:i/>
          <w:color w:val="555555"/>
          <w:sz w:val="18"/>
        </w:rPr>
        <w:t>Wednesday, May 6, 2026 — pre-market   |   IPS v1.0 binding | Report v2.0 grayscale institutional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i w:val="0"/>
          <w:sz w:val="22"/>
        </w:rPr>
        <w:t>1. MARKET SNAPSHOT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sz w:val="20"/>
        </w:rPr>
        <w:t>Pre-open futures firm. S&amp;P 500 e-minis +0.4–0.6%, Nasdaq 100 e-minis +0.5–0.8% on AMD beat-and-raise + further oil softening; Russell 2000 +0.5%. SOURCED. Cash S&amp;P 500 closed Tue at 7,182.91 (-0.64%); record streak briefly paused Tue. SOURCED. WTI ~$98–99 pre-open after Mon $104 spike unwound; reports of US-Iran ceasefire MOU (uranium-enrichment moratorium + Hormuz reopening) drove the unwind. SOURCED. VIX mid-teens. FOMC last met Apr 28–29 and held the funds rate at 3.50–3.75% (forecasting one cut in 2026). SOURCED. Calendar: AMD/EOG digested today; ARM prints AMC; April NFP Fri (cons. ~50–65k vs 178k prior). Tape leadership: large-cap tech + semis on AMD spillover.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i w:val="0"/>
          <w:sz w:val="22"/>
        </w:rPr>
        <w:t>2. SCAN 1 — HOLDINGS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sz w:val="20"/>
        </w:rPr>
        <w:t>AMD Q1 (May 5 AMC): rev $10.253B (+38%), Adj EPS $1.37, Data Center $5.8B (+57%); Q2 guide $11.2B; FCF $2.6B; stock +18% pre-mkt. SOURCED. Read-through to held names: AVGO 4.0% (custom AI ASIC), NVDA 6.5% (May 20 print), TSM 3.0% (foundry), MU 2.5% (HBM3E) — AI-capex digestion narrative weakened by the print; thesis intact, no add capacity (cash at floor). EOG Q1 (May 5 AMC) beat: Adj EPS $3.41 vs $3.21 cons (+5.6%); rev $6.92B vs $6.18B (+11.9%); FCF $1.5B; production guide raised to 548.5kbpd crude midpoint; capex unchanged $6.5B; $544M div + $402M buyback. SOURCED. EOG 2.5% — hold; WTI weakening is the offsetting risk. PLTR Q1 beat-and-raise from May 4 AMC fully digested; stock -7% post-print on valuation, not thesis. SOURCED. Hold 3.0%; no add capacity. NVDA Corning AI-infra manufacturing partnership announced overnight. SOURCED. Cybersecurity (PANW 4.0%, CRWD 1.5%): OpenAI in-platform security feature overhang still flagged from Apr 30 disclosure; thesis intact, watch reaction. UNH 3.0%: market price ~$364 vs tracker carry $510 — reconciliation still pending, FLAG carried over. SOURCED. Energy XOM 3.0% / EOG 2.5%: WTI $96 pre-open; &lt;$90 trim trigger not in play yet but closing in.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i w:val="0"/>
          <w:sz w:val="22"/>
        </w:rPr>
        <w:t>3. SCAN 2 — WATCHLIST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sz w:val="20"/>
        </w:rPr>
        <w:t>ARM (not held) prints Q4 AMC tonight. Cons rev $1.47B / Adj EPS $0.58; company guide $1.18B mid / $0.54–0.62. Stock +47% MTD / +84% YTD into print; trades ~270x P/E; avg PT ~$183 implies -7.5% downside. SOURCED. Confidence LOW pre-print. Proposed size 1.0% on post-print pullback (entry trigger price &lt;$130 sustained close). Price stop $118 (-9% from entry). Thesis stop AI-edge royalty growth &lt;30% YoY for two quarters. Pre-mortem: wrong if AI-edge royalty cycle disappoints sequentially. NO ENTRY today. AMD (not held) +18% pre-mkt — original watchlist trigger was 'post-print close &lt;-5% on guide hold.' Trigger inverted; AMD removed from new-entry list. SPOT (not held): re-trigger restated &lt;$650 close only; no new catalyst. NO ENTRY. CALIBRATED on size.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i w:val="0"/>
          <w:sz w:val="22"/>
        </w:rPr>
        <w:t>4. CASH RECOMMENDATION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sz w:val="20"/>
        </w:rPr>
        <w:t>Hold cash at 15.0% — IPS hard floor (band 10–20%, midpoint 15%). CONFIRMED via tracker. No deployments / trims. Headroom: 0% to floor, +5.0% to 20% ceiling. Reactive posture preserved through ARM AMC tonight, NFP Fri, and NVDA May 20 print. Drawdown trigger (WTD ≥ -3%) not in play.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i w:val="0"/>
          <w:sz w:val="22"/>
        </w:rPr>
        <w:t>5. PENDING CATALYSTS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Date</w:t>
            </w:r>
          </w:p>
        </w:tc>
        <w:tc>
          <w:tcPr>
            <w:tcW w:type="dxa" w:w="345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Event</w:t>
            </w:r>
          </w:p>
        </w:tc>
        <w:tc>
          <w:tcPr>
            <w:tcW w:type="dxa" w:w="561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Read-through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May 6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ARM Q4 (AMC)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Watchlist; defer entry until reaction settles.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May 7</w:t>
            </w:r>
          </w:p>
        </w:tc>
        <w:tc>
          <w:tcPr>
            <w:tcW w:type="dxa" w:w="345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Post-ARM digestion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Held semis read-through; thin macro day.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May 8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April NFP, 8:30 ET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Cons. ~50–65k vs 178k prior; rate-path read.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May 12</w:t>
            </w:r>
          </w:p>
        </w:tc>
        <w:tc>
          <w:tcPr>
            <w:tcW w:type="dxa" w:w="345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April CPI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Inflation read; FOMC June meeting set-up.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May 20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NVDA Q1 (AMC)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Marquee; whispers $80–82B vs $78.8B cons.</w:t>
            </w:r>
          </w:p>
        </w:tc>
      </w:tr>
      <w:tr>
        <w:tc>
          <w:tcPr>
            <w:tcW w:type="dxa" w:w="144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345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UNH carry-value reconciliation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Tracker shows $510; market ~$364. FLAG.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3456"/>
            <w:tcBorders>
              <w:top w:val="nil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WTI &lt;$90 sustained close</w:t>
            </w:r>
          </w:p>
        </w:tc>
        <w:tc>
          <w:tcPr>
            <w:tcW w:type="dxa" w:w="5616"/>
            <w:tcBorders>
              <w:top w:val="nil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Trigger trim XOM 3.0→2.5, EOG 2.5→2.0, +1.0% cash.</w:t>
            </w:r>
          </w:p>
        </w:tc>
      </w:tr>
    </w:tbl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i w:val="0"/>
          <w:sz w:val="22"/>
        </w:rPr>
        <w:t>6. RECOMMENDED WEIGHT CHANGES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sz w:val="20"/>
        </w:rPr>
        <w:t>No weight changes today. Cash at 15.0% floor precludes adds; no thesis-stop hits today; no IPS breaches. Single-name max NVDA 6.5% (at IPS cap 7.0%); sector max Technology ~33.5% (at IPS cap 35.0%); cash 15.0% (mid-band).</w:t>
      </w:r>
    </w:p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i w:val="0"/>
          <w:sz w:val="22"/>
        </w:rPr>
        <w:t>7. FULL PORTFOLIO — CURRENT WEIGHTS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00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Ticker</w:t>
            </w:r>
          </w:p>
        </w:tc>
        <w:tc>
          <w:tcPr>
            <w:tcW w:type="dxa" w:w="2880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Sector</w:t>
            </w:r>
          </w:p>
        </w:tc>
        <w:tc>
          <w:tcPr>
            <w:tcW w:type="dxa" w:w="1008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Wt %</w:t>
            </w:r>
          </w:p>
        </w:tc>
        <w:tc>
          <w:tcPr>
            <w:tcW w:type="dxa" w:w="5616"/>
            <w:shd w:val="clear" w:color="auto" w:fill="ECECEC"/>
            <w:tcBorders>
              <w:top w:val="single" w:sz="4" w:color="B0B0B0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Note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NVDA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AI Infrastructure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6.5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Q1 earns May 20; whispers ~$80–82B post-AMD beat.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AMZN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Cloud / E-Commerce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5.5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AWS reaccel Q1 confirmed.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META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Communication Services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4.5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ad-cycle digestion ongoing.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LLY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Healthcare — Pharma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4.5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Q1 (Apr 30) +9% reaction stable.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JPM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Financials — Banking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4.5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Q1 beat already taken at 4.5%.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AVGO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Semis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AMD print read-through positive.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MSFT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Enterprise Software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capex digestion.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PANW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Cybersecurity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OpenAI in-platform overhang flagged.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QQQ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ETF — Nasdaq-100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3.5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ORCL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Cloud DB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3.5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OpenAI/Stargate concentration narrative.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GOOGL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Search / Cloud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GCP +28% Q1.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PLTR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AI Software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Q1 beat-and-raise; -7% post-print on valuation.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UNH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Healthcare — Managed Care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carry-value vs market price ($510 vs ~$364) reconciliation pending. FLAG.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XOM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Energy — Integrated O&amp;G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 rebuilt; WTI softening to $96.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Financials — Payments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Q2 print and raised guide cleared Apr 28.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TSM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Foundry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AMD/AVGO read-through positive.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MU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Memory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HBM3E demand intact.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VUG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ETF — Large-Cap Growth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SCHD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ETF — Dividend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EOG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Energy — E&amp;P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Q1 beat May 5 AMC; guide raised.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COST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Consumer Staples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DASH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Consumer Discretionary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NEE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Utilities — Renewables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ABBV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Healthcare — Biotech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PFE Q1 read-through neutral-positive.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NFLX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Communication Services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CRWD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Cybersecurity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OpenAI overhang. SOURCED.</w:t>
            </w:r>
          </w:p>
        </w:tc>
      </w:tr>
      <w:t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INTC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Technology — Semis</w:t>
            </w:r>
          </w:p>
        </w:tc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Hold; +20%+ since Apr 24 entry. SOURCED.</w:t>
            </w:r>
          </w:p>
        </w:tc>
      </w:tr>
      <w:tr>
        <w:tc>
          <w:tcPr>
            <w:tcW w:type="dxa" w:w="1008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CASH</w:t>
            </w:r>
          </w:p>
        </w:tc>
        <w:tc>
          <w:tcPr>
            <w:tcW w:type="dxa" w:w="2880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Cash &amp; Equivalents</w:t>
            </w:r>
          </w:p>
        </w:tc>
        <w:tc>
          <w:tcPr>
            <w:tcW w:type="dxa" w:w="1008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15.0</w:t>
            </w:r>
          </w:p>
        </w:tc>
        <w:tc>
          <w:tcPr>
            <w:tcW w:type="dxa" w:w="5616"/>
            <w:shd w:val="clear" w:color="auto" w:fill="F6F6F6"/>
            <w:tcBorders>
              <w:top w:val="nil"/>
              <w:left w:val="nil"/>
              <w:bottom w:val="single" w:sz="4" w:color="B0B0B0"/>
              <w:right w:val="nil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At hard floor; reactive posture into NFP Fri. SOURCED.</w:t>
            </w:r>
          </w:p>
        </w:tc>
      </w:tr>
    </w:tbl>
    <w:p>
      <w:pPr>
        <w:spacing w:before="120" w:after="40"/>
        <w:pBdr>
          <w:bottom w:val="single" w:sz="6" w:space="1" w:color="B0B0B0"/>
        </w:pBdr>
      </w:pPr>
      <w:r>
        <w:rPr>
          <w:rFonts w:ascii="Calibri" w:hAnsi="Calibri" w:cs="Calibri"/>
          <w:b/>
          <w:i w:val="0"/>
          <w:sz w:val="22"/>
        </w:rPr>
        <w:t>8. SOURCES &amp; METHODOLOGY</w:t>
      </w:r>
    </w:p>
    <w:p>
      <w:pPr>
        <w:spacing w:before="0" w:after="40"/>
      </w:pPr>
      <w:r>
        <w:rPr>
          <w:rFonts w:ascii="Calibri" w:hAnsi="Calibri" w:cs="Calibri"/>
          <w:b w:val="0"/>
          <w:i/>
          <w:color w:val="555555"/>
          <w:sz w:val="16"/>
        </w:rPr>
        <w:t>Sources: AMD IR (May 5, 2026); EOG IR (May 5, 2026); CNBC, TheStreet, Yahoo Finance, TipRanks, Investing.com, Tradingeconomics, Al Jazeera, Bakersfield AP wire. CONFIRMED weights from tracker Portfolio Overview sheet (WM_Growth_Portfolio_Apr2026.xlsx). UNH tracker carry $510 vs market ~$364 is CALIBRATED pending reconciliation. Pre-market index quotes are SOURCED indicative levels and may move before cash open. Tags: SOURCED = live/delayed market data at write time; CONFIRMED = aggregate provided by user / ground-truth; CALIBRATED = fit-to-reconcile, not a substitute for sourced data. IPS hard limits: single ≤7%, ETF ≤5%, sector ≤35%, cash 10–20%, no leverage/options/shorts.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