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cs="Calibri"/>
          <w:b/>
          <w:i w:val="0"/>
          <w:sz w:val="24"/>
        </w:rPr>
        <w:t>DAILY PRE-MARKET — WM GROWTH PORTFOLIO</w:t>
      </w:r>
    </w:p>
    <w:p>
      <w:pPr>
        <w:spacing w:before="0" w:after="0"/>
        <w:pBdr>
          <w:bottom w:val="single" w:sz="6" w:space="1" w:color="B0B0B0"/>
        </w:pBdr>
      </w:pPr>
      <w:r>
        <w:rPr>
          <w:rFonts w:ascii="Calibri" w:hAnsi="Calibri" w:cs="Calibri"/>
          <w:b w:val="0"/>
          <w:i/>
          <w:color w:val="555555"/>
          <w:sz w:val="18"/>
        </w:rPr>
        <w:t>Thursday, May 7, 2026 — pre-market   |   IPS v1.0 binding | Report v2.0 grayscale institutional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1. MARKET SNAPSHOT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sz w:val="20"/>
        </w:rPr>
        <w:t>Pre-open futures slightly positive. S&amp;P 500 e-minis +0.1%, Nasdaq 100 e-minis +0.1%; Dow futures +62. SOURCED. Wed cash close: S&amp;P 500 +1.46% to 7,365.12 (record); Nasdaq +2.02% to 25,838.94 (record); Dow +1.24% to 49,910.59 (+612 pts). SOURCED. AMD +18.4% / ARM +13.6% led the tape into ARM print; NVDA +2% with Corning U.S. AI-infra manufacturing partnership. SOURCED. Oil continues to soften: WTI $93.6 (-3.5%); Brent $97.9 (-3.3%); gold $4,754 (+1.3%). SOURCED. US-Iran ceasefire MOU narrative (uranium-enrichment moratorium + Hormuz reopening) drove Wed risk-on; Trump cautioned a deal is still 'a big assumption.' SOURCED. Calendar today is light into NFP Fri (cons. ~50–65k vs 178k prior); ARM digestion is the held-name read-through on the day.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2. SCAN 1 — HOLDINGS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sz w:val="20"/>
        </w:rPr>
        <w:t>ARM Q4 FY26 (May 6 AMC) — not held — printed records on both metrics: rev $1.49B (+20% YoY) vs $1.47B cons; Adj EPS $0.60 vs $0.58 cons. Licensing rev +29% YoY; data-center royalty rev more than doubled YoY. Stock -7.3% pre-mkt May 7 after the call disclosed insufficient supply capacity to cover ~$1B incremental demand tied to a new AGI CPU. SOURCED. Read-through to held semis: AVGO 4.0% / NVDA 6.5% / TSM 3.0% / MU 2.5% — supply-capacity tightness is a positive demand-signal for the foundry-and-memory complex, but ARM is largely an idiosyncratic stretch name (270x P/E into print). Hold all; no thesis change. AMD spillover fully digested into Wed close; NVDA whispers $80–82B vs $78.8B cons into May 20 print. SOURCED. EOG 2.5%: post-Q1 follow-through; FCF $1.5B and unchanged $6.5B capex narrative intact even as WTI slid to $93.6 — gap to &lt;$90 trim trigger has narrowed to ~$3.6. CALIBRATED on trigger gap. XOM 3.0%: same energy regime; no XOM-specific catalyst. PLTR 3.0%: -7% post-print already digested; BAC reiterated Buy. Cybersecurity (PANW 4.0%, CRWD 1.5%) overhang from OpenAI in-platform feature persists; thesis intact. UNH 3.0%: market ~$364 vs tracker carry $510 — reconciliation FLAG carried over a third session.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3. SCAN 2 — WATCHLIST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sz w:val="20"/>
        </w:rPr>
        <w:t>ARM (not held): post-print -7.3% but still ~+38% MTD. Original watchlist trigger (price &lt;$130 sustained close) NOT met; defer. Confidence LOW. Proposed size 1.0% from cash on sustained close &lt;$130 with supply-capacity guidance update. Price stop $118 (-9% from entry). Thesis stop AI-edge royalty growth &lt;30% YoY for two quarters. Pre-mortem: wrong if the AGI-CPU supply gap proves transient AND the multiple doesn't compress. NO ENTRY today. AMD (not held): post-print +18%; trigger inverted; remain off the new-entry list. SPOT (not held): re-trigger restated &lt;$650 close only; no new catalyst. NO ENTRY. AVGO (held 4.0%): AMD print read-through positive — no add capacity (cash at floor); leave at 4.0%. CALIBRATED on size.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4. CASH RECOMMENDATION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sz w:val="20"/>
        </w:rPr>
        <w:t>Hold cash at 15.0% — IPS hard floor. CONFIRMED via tracker. No deployments / trims. Reactive posture into NFP Fri at 8:30 ET; if NFP prints &lt;30k AND market sells off &gt;1.5% intraday, consider deploying 0.5–1.0% into AVGO or NVDA on confirmation, but no pre-event move. Drawdown trigger (WTD ≥ -3%) not in play.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5. PENDING CATALYSTS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1440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Date</w:t>
            </w:r>
          </w:p>
        </w:tc>
        <w:tc>
          <w:tcPr>
            <w:tcW w:type="dxa" w:w="3456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Event</w:t>
            </w:r>
          </w:p>
        </w:tc>
        <w:tc>
          <w:tcPr>
            <w:tcW w:type="dxa" w:w="5616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Read-through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May 7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ARM digestion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Read-through to AVGO/NVDA/TSM/MU; no action.</w:t>
            </w:r>
          </w:p>
        </w:tc>
      </w:tr>
      <w:tr>
        <w:tc>
          <w:tcPr>
            <w:tcW w:type="dxa" w:w="144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May 8</w:t>
            </w:r>
          </w:p>
        </w:tc>
        <w:tc>
          <w:tcPr>
            <w:tcW w:type="dxa" w:w="345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April NFP, 8:30 ET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Cons. ~50–65k; weak print supports duration / risk-on.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May 12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April CPI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Inflation read; sets June FOMC posture.</w:t>
            </w:r>
          </w:p>
        </w:tc>
      </w:tr>
      <w:tr>
        <w:tc>
          <w:tcPr>
            <w:tcW w:type="dxa" w:w="144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May 20</w:t>
            </w:r>
          </w:p>
        </w:tc>
        <w:tc>
          <w:tcPr>
            <w:tcW w:type="dxa" w:w="345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NVDA Q1 (AMC)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Whispers $80–82B vs $78.8B cons; marquee.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May 27</w:t>
            </w:r>
          </w:p>
        </w:tc>
        <w:tc>
          <w:tcPr>
            <w:tcW w:type="dxa" w:w="345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WMT / TGT Q1 prints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Consumer read; DASH/COST adjacency.</w:t>
            </w:r>
          </w:p>
        </w:tc>
      </w:tr>
      <w:tr>
        <w:tc>
          <w:tcPr>
            <w:tcW w:type="dxa" w:w="144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Ongoing</w:t>
            </w:r>
          </w:p>
        </w:tc>
        <w:tc>
          <w:tcPr>
            <w:tcW w:type="dxa" w:w="345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UNH carry-value reconciliation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Tracker $510 vs market ~$364. FLAG.</w:t>
            </w:r>
          </w:p>
        </w:tc>
      </w:tr>
      <w:tr>
        <w:tc>
          <w:tcPr>
            <w:tcW w:type="dxa" w:w="1440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Ongoing</w:t>
            </w:r>
          </w:p>
        </w:tc>
        <w:tc>
          <w:tcPr>
            <w:tcW w:type="dxa" w:w="345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WTI &lt;$90 sustained close</w:t>
            </w:r>
          </w:p>
        </w:tc>
        <w:tc>
          <w:tcPr>
            <w:tcW w:type="dxa" w:w="561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Trim trigger XOM 3.0→2.5, EOG 2.5→2.0, +1.0% cash.</w:t>
            </w:r>
          </w:p>
        </w:tc>
      </w:tr>
    </w:tbl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6. RECOMMENDED WEIGHT CHANGES</w:t>
      </w:r>
    </w:p>
    <w:p>
      <w:pPr>
        <w:spacing w:before="0" w:after="40"/>
      </w:pPr>
      <w:r>
        <w:rPr>
          <w:rFonts w:ascii="Calibri" w:hAnsi="Calibri" w:cs="Calibri"/>
          <w:b w:val="0"/>
          <w:i w:val="0"/>
          <w:sz w:val="20"/>
        </w:rPr>
        <w:t>No weight changes today. Cash at 15.0% floor precludes adds; no thesis-stop hits today; no IPS breaches. Single-name max NVDA 6.5% (at IPS cap 7.0%); sector max Technology ~33.5% (at IPS cap 35.0%); cash 15.0% (mid-band).</w:t>
      </w:r>
    </w:p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7. FULL PORTFOLIO — CURRENT WEIGHTS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c>
          <w:tcPr>
            <w:tcW w:type="dxa" w:w="1008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Ticker</w:t>
            </w:r>
          </w:p>
        </w:tc>
        <w:tc>
          <w:tcPr>
            <w:tcW w:type="dxa" w:w="2880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Sector</w:t>
            </w:r>
          </w:p>
        </w:tc>
        <w:tc>
          <w:tcPr>
            <w:tcW w:type="dxa" w:w="1008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Wt %</w:t>
            </w:r>
          </w:p>
        </w:tc>
        <w:tc>
          <w:tcPr>
            <w:tcW w:type="dxa" w:w="5616"/>
            <w:shd w:val="clear" w:color="auto" w:fill="ECECEC"/>
            <w:tcBorders>
              <w:top w:val="single" w:sz="4" w:color="B0B0B0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/>
                <w:i w:val="0"/>
                <w:sz w:val="18"/>
              </w:rPr>
              <w:t>Note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NVDA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AI Infrastructure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6.5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Q1 earns May 20; whispers ~$80–82B post-AMD beat.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AMZN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Cloud / E-Commerce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5.5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AWS reaccel Q1 confirmed.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META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Communication Services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ad-cycle digestion ongoing.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LLY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Healthcare — Pharma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Q1 (Apr 30) +9% reaction stable.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JPM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Financials — Banking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Q1 beat already taken at 4.5%.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AVGO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Semis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AMD print read-through positive.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MSFT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Enterprise Software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4.0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capex digestion.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PANW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Cybersecurity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4.0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OpenAI in-platform overhang flagged.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QQQ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ETF — Nasdaq-100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ORCL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Cloud DB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OpenAI/Stargate concentration narrative.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GOOGL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Search / Cloud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GCP +28% Q1.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PLTR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AI Software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Q1 beat-and-raise; -7% post-print on valuation.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UNH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Healthcare — Managed Care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carry-value vs market price ($510 vs ~$364) reconciliation pending. FLAG.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XOM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Energy — Integrated O&amp;G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 rebuilt; WTI softening to $96.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V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Financials — Payments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Q2 print and raised guide cleared Apr 28.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TSM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Foundry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3.0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AMD/AVGO read-through positive.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MU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Memory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HBM3E demand intact.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VUG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ETF — Large-Cap Growth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SCHD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ETF — Dividend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EOG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Energy — E&amp;P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Q1 beat May 5 AMC; guide raised.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COST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Consumer Staples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DASH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Consumer Discretionary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NEE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Utilities — Renewables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2.0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ABBV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Healthcare — Biotech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PFE Q1 read-through neutral-positive.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NFLX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Communication Services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CRWD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Cybersecurity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OpenAI overhang. SOURCED.</w:t>
            </w:r>
          </w:p>
        </w:tc>
      </w:tr>
      <w:tr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INTC</w:t>
            </w:r>
          </w:p>
        </w:tc>
        <w:tc>
          <w:tcPr>
            <w:tcW w:type="dxa" w:w="2880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Technology — Semis</w:t>
            </w:r>
          </w:p>
        </w:tc>
        <w:tc>
          <w:tcPr>
            <w:tcW w:type="dxa" w:w="100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1.5</w:t>
            </w:r>
          </w:p>
        </w:tc>
        <w:tc>
          <w:tcPr>
            <w:tcW w:type="dxa" w:w="5616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Hold; +20%+ since Apr 24 entry. SOURCED.</w:t>
            </w:r>
          </w:p>
        </w:tc>
      </w:tr>
      <w:tr>
        <w:tc>
          <w:tcPr>
            <w:tcW w:type="dxa" w:w="1008"/>
            <w:shd w:val="clear" w:color="auto" w:fill="F6F6F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CASH</w:t>
            </w:r>
          </w:p>
        </w:tc>
        <w:tc>
          <w:tcPr>
            <w:tcW w:type="dxa" w:w="2880"/>
            <w:shd w:val="clear" w:color="auto" w:fill="F6F6F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Cash &amp; Equivalents</w:t>
            </w:r>
          </w:p>
        </w:tc>
        <w:tc>
          <w:tcPr>
            <w:tcW w:type="dxa" w:w="1008"/>
            <w:shd w:val="clear" w:color="auto" w:fill="F6F6F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onsolas" w:hAnsi="Consolas" w:cs="Consolas"/>
                <w:b w:val="0"/>
                <w:i w:val="0"/>
                <w:sz w:val="18"/>
              </w:rPr>
              <w:t>15.0</w:t>
            </w:r>
          </w:p>
        </w:tc>
        <w:tc>
          <w:tcPr>
            <w:tcW w:type="dxa" w:w="5616"/>
            <w:shd w:val="clear" w:color="auto" w:fill="F6F6F6"/>
            <w:tcBorders>
              <w:top w:val="nil"/>
              <w:left w:val="nil"/>
              <w:bottom w:val="single" w:sz="4" w:color="B0B0B0"/>
              <w:right w:val="nil"/>
            </w:tcBorders>
          </w:tcPr>
          <w:p>
            <w:pPr>
              <w:spacing w:before="0" w:after="0"/>
            </w:pPr>
            <w:r/>
            <w:r>
              <w:rPr>
                <w:rFonts w:ascii="Calibri" w:hAnsi="Calibri" w:cs="Calibri"/>
                <w:b w:val="0"/>
                <w:i w:val="0"/>
                <w:sz w:val="18"/>
              </w:rPr>
              <w:t>At hard floor; reactive posture into NFP Fri. SOURCED.</w:t>
            </w:r>
          </w:p>
        </w:tc>
      </w:tr>
    </w:tbl>
    <w:p>
      <w:pPr>
        <w:spacing w:before="120" w:after="40"/>
        <w:pBdr>
          <w:bottom w:val="single" w:sz="6" w:space="1" w:color="B0B0B0"/>
        </w:pBdr>
      </w:pPr>
      <w:r>
        <w:rPr>
          <w:rFonts w:ascii="Calibri" w:hAnsi="Calibri" w:cs="Calibri"/>
          <w:b/>
          <w:i w:val="0"/>
          <w:sz w:val="22"/>
        </w:rPr>
        <w:t>8. SOURCES &amp; METHODOLOGY</w:t>
      </w:r>
    </w:p>
    <w:p>
      <w:pPr>
        <w:spacing w:before="0" w:after="40"/>
      </w:pPr>
      <w:r>
        <w:rPr>
          <w:rFonts w:ascii="Calibri" w:hAnsi="Calibri" w:cs="Calibri"/>
          <w:b w:val="0"/>
          <w:i/>
          <w:color w:val="555555"/>
          <w:sz w:val="16"/>
        </w:rPr>
        <w:t>Sources: ARM IR (May 6, 2026); CNBC, TheStreet, Yahoo Finance, Investing.com, MarketBeat, TradingKey, Motley Fool, Globe and Mail (May 6–7, 2026); Tradingeconomics for WTI/Brent. CONFIRMED weights from tracker Portfolio Overview sheet. UNH tracker carry $510 vs market ~$364 is CALIBRATED pending reconciliation. WTI/Brent quotes and pre-market index futures are SOURCED indicative levels and may move before cash open. Tags: SOURCED = live/delayed market data at write time; CONFIRMED = aggregate provided by user / ground truth; CALIBRATED = fit-to-reconcile, not a substitute for sourced data. IPS hard limits: single ≤7%, ETF ≤5%, sector ≤35%, cash 10–20%, no leverage / options / shorts.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