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DAILY PRE-MARKET PORTFOLIO REPORT</w:t>
      </w:r>
    </w:p>
    <w:p>
      <w:pPr>
        <w:jc w:val="center"/>
      </w:pPr>
      <w:r>
        <w:rPr>
          <w:i/>
          <w:sz w:val="22"/>
        </w:rPr>
        <w:t>April 20, 2026 | Long-Term Growth Portfolio | 25 Positions + Cash</w:t>
      </w:r>
    </w:p>
    <w:p/>
    <w:p>
      <w:pPr>
        <w:pStyle w:val="Heading1"/>
      </w:pPr>
      <w:r>
        <w:rPr>
          <w:color w:val="1F3A5F"/>
        </w:rPr>
        <w:t>1. Date &amp; Market Snapshot</w:t>
      </w:r>
    </w:p>
    <w:tbl>
      <w:tblPr>
        <w:tblStyle w:val="LightGrid-Accent1"/>
        <w:tblW w:type="auto" w:w="0"/>
        <w:tblLook w:firstColumn="1" w:firstRow="1" w:lastColumn="0" w:lastRow="0" w:noHBand="0" w:noVBand="1" w:val="04A0"/>
      </w:tblPr>
      <w:tblGrid>
        <w:gridCol w:w="2880"/>
        <w:gridCol w:w="2880"/>
        <w:gridCol w:w="2880"/>
      </w:tblGrid>
      <w:tr>
        <w:tc>
          <w:tcPr>
            <w:tcW w:type="dxa" w:w="2880"/>
            <w:shd w:fill="1F3A5F"/>
          </w:tcPr>
          <w:p>
            <w:r>
              <w:rPr>
                <w:b/>
                <w:color w:val="FFFFFF"/>
              </w:rPr>
              <w:t>Indicator</w:t>
            </w:r>
          </w:p>
        </w:tc>
        <w:tc>
          <w:tcPr>
            <w:tcW w:type="dxa" w:w="2880"/>
            <w:shd w:fill="1F3A5F"/>
          </w:tcPr>
          <w:p>
            <w:r>
              <w:rPr>
                <w:b/>
                <w:color w:val="FFFFFF"/>
              </w:rPr>
              <w:t>Level</w:t>
            </w:r>
          </w:p>
        </w:tc>
        <w:tc>
          <w:tcPr>
            <w:tcW w:type="dxa" w:w="2880"/>
            <w:shd w:fill="1F3A5F"/>
          </w:tcPr>
          <w:p>
            <w:r>
              <w:rPr>
                <w:b/>
                <w:color w:val="FFFFFF"/>
              </w:rPr>
              <w:t>Context</w:t>
            </w:r>
          </w:p>
        </w:tc>
      </w:tr>
      <w:tr>
        <w:tc>
          <w:tcPr>
            <w:tcW w:type="dxa" w:w="2880"/>
          </w:tcPr>
          <w:p>
            <w:r>
              <w:t>S&amp;P 500</w:t>
            </w:r>
          </w:p>
        </w:tc>
        <w:tc>
          <w:tcPr>
            <w:tcW w:type="dxa" w:w="2880"/>
          </w:tcPr>
          <w:p>
            <w:r>
              <w:t>~7,098 (-0.39%)</w:t>
            </w:r>
          </w:p>
        </w:tc>
        <w:tc>
          <w:tcPr>
            <w:tcW w:type="dxa" w:w="2880"/>
          </w:tcPr>
          <w:p>
            <w:r>
              <w:t>Pulling back from Apr 15 ATH 7,022.95; weekend Iran/Hormuz headlines weigh on risk appetite.</w:t>
            </w:r>
          </w:p>
        </w:tc>
      </w:tr>
      <w:tr>
        <w:tc>
          <w:tcPr>
            <w:tcW w:type="dxa" w:w="2880"/>
          </w:tcPr>
          <w:p>
            <w:r>
              <w:t>Nasdaq</w:t>
            </w:r>
          </w:p>
        </w:tc>
        <w:tc>
          <w:tcPr>
            <w:tcW w:type="dxa" w:w="2880"/>
          </w:tcPr>
          <w:p>
            <w:r>
              <w:t>-0.62%</w:t>
            </w:r>
          </w:p>
        </w:tc>
        <w:tc>
          <w:tcPr>
            <w:tcW w:type="dxa" w:w="2880"/>
          </w:tcPr>
          <w:p>
            <w:r>
              <w:t>Mega-cap tech leading downside; AI names resilient but profit-taking into earnings week.</w:t>
            </w:r>
          </w:p>
        </w:tc>
      </w:tr>
      <w:tr>
        <w:tc>
          <w:tcPr>
            <w:tcW w:type="dxa" w:w="2880"/>
          </w:tcPr>
          <w:p>
            <w:r>
              <w:t>VIX</w:t>
            </w:r>
          </w:p>
        </w:tc>
        <w:tc>
          <w:tcPr>
            <w:tcW w:type="dxa" w:w="2880"/>
          </w:tcPr>
          <w:p>
            <w:r>
              <w:t>~17.5</w:t>
            </w:r>
          </w:p>
        </w:tc>
        <w:tc>
          <w:tcPr>
            <w:tcW w:type="dxa" w:w="2880"/>
          </w:tcPr>
          <w:p>
            <w:r>
              <w:t>Normalized; has not yet breached 18-20 despite weekend headline risk.</w:t>
            </w:r>
          </w:p>
        </w:tc>
      </w:tr>
      <w:tr>
        <w:tc>
          <w:tcPr>
            <w:tcW w:type="dxa" w:w="2880"/>
          </w:tcPr>
          <w:p>
            <w:r>
              <w:t>10Y Treasury</w:t>
            </w:r>
          </w:p>
        </w:tc>
        <w:tc>
          <w:tcPr>
            <w:tcW w:type="dxa" w:w="2880"/>
          </w:tcPr>
          <w:p>
            <w:r>
              <w:t>~4.31%</w:t>
            </w:r>
          </w:p>
        </w:tc>
        <w:tc>
          <w:tcPr>
            <w:tcW w:type="dxa" w:w="2880"/>
          </w:tcPr>
          <w:p>
            <w:r>
              <w:t>Range-bound 4.23-4.48% over past month; Fed Apr 29 expected hold.</w:t>
            </w:r>
          </w:p>
        </w:tc>
      </w:tr>
      <w:tr>
        <w:tc>
          <w:tcPr>
            <w:tcW w:type="dxa" w:w="2880"/>
          </w:tcPr>
          <w:p>
            <w:r>
              <w:t>WTI Crude</w:t>
            </w:r>
          </w:p>
        </w:tc>
        <w:tc>
          <w:tcPr>
            <w:tcW w:type="dxa" w:w="2880"/>
          </w:tcPr>
          <w:p>
            <w:r>
              <w:t>~$89-90</w:t>
            </w:r>
          </w:p>
        </w:tc>
        <w:tc>
          <w:tcPr>
            <w:tcW w:type="dxa" w:w="2880"/>
          </w:tcPr>
          <w:p>
            <w:r>
              <w:t>Touched $87 last week, 7% intraday rebound toward $90 as Iran tensions reflare; trim trigger ACTIVE.</w:t>
            </w:r>
          </w:p>
        </w:tc>
      </w:tr>
    </w:tbl>
    <w:p/>
    <w:p>
      <w:r>
        <w:rPr>
          <w:b/>
        </w:rPr>
        <w:t xml:space="preserve">Market regime: </w:t>
      </w:r>
      <w:r>
        <w:t>Constructive but fragile. US-Iran tensions re-escalated over the weekend after Trump ordered a renewed Hormuz blockade and Iran signaled retreat from peace talks — S&amp;P futures opened lower. VIX remains contained near 17-18; the next two binary events for the book are UNH Q1 (Tue Apr 21 pre-market) and INTC Q1 (Wed Apr 23 post-market). JPM lowered its 2026 S&amp;P target from 7,500 to 7,200 last week — we view that as a base case, not a panic move.</w:t>
      </w:r>
    </w:p>
    <w:p>
      <w:r>
        <w:br w:type="page"/>
      </w:r>
    </w:p>
    <w:p>
      <w:pPr>
        <w:pStyle w:val="Heading1"/>
      </w:pPr>
      <w:r>
        <w:rPr>
          <w:color w:val="1F3A5F"/>
        </w:rPr>
        <w:t>2. SCAN 1 — Holdings Review: Affected Positions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152"/>
            <w:shd w:fill="1F3A5F"/>
          </w:tcPr>
          <w:p>
            <w:r>
              <w:rPr>
                <w:b/>
                <w:color w:val="FFFFFF"/>
              </w:rPr>
              <w:t>Ticker</w:t>
            </w:r>
          </w:p>
        </w:tc>
        <w:tc>
          <w:tcPr>
            <w:tcW w:type="dxa" w:w="3744"/>
            <w:shd w:fill="1F3A5F"/>
          </w:tcPr>
          <w:p>
            <w:r>
              <w:rPr>
                <w:b/>
                <w:color w:val="FFFFFF"/>
              </w:rPr>
              <w:t>Headline / Event</w:t>
            </w:r>
          </w:p>
        </w:tc>
        <w:tc>
          <w:tcPr>
            <w:tcW w:type="dxa" w:w="1728"/>
            <w:shd w:fill="1F3A5F"/>
          </w:tcPr>
          <w:p>
            <w:r>
              <w:rPr>
                <w:b/>
                <w:color w:val="FFFFFF"/>
              </w:rPr>
              <w:t>Source</w:t>
            </w:r>
          </w:p>
        </w:tc>
        <w:tc>
          <w:tcPr>
            <w:tcW w:type="dxa" w:w="1728"/>
            <w:shd w:fill="1F3A5F"/>
          </w:tcPr>
          <w:p>
            <w:r>
              <w:rPr>
                <w:b/>
                <w:color w:val="FFFFFF"/>
              </w:rPr>
              <w:t>Impact</w:t>
            </w:r>
          </w:p>
        </w:tc>
        <w:tc>
          <w:tcPr>
            <w:tcW w:type="dxa" w:w="2160"/>
            <w:shd w:fill="1F3A5F"/>
          </w:tcPr>
          <w:p>
            <w:r>
              <w:rPr>
                <w:b/>
                <w:color w:val="FFFFFF"/>
              </w:rPr>
              <w:t>Action</w:t>
            </w:r>
          </w:p>
        </w:tc>
      </w:tr>
      <w:tr>
        <w:tc>
          <w:tcPr>
            <w:tcW w:type="dxa" w:w="1152"/>
          </w:tcPr>
          <w:p>
            <w:r>
              <w:t>JPM</w:t>
            </w:r>
          </w:p>
        </w:tc>
        <w:tc>
          <w:tcPr>
            <w:tcW w:type="dxa" w:w="3744"/>
          </w:tcPr>
          <w:p>
            <w:r>
              <w:t>Q1 record trading revenue ($11.6B, all-time high); EPS $5.94 vs $5.45 est.; FY26 NII guide cut $104.5B→$103B; JPM lowered S&amp;P 2026 PT to 7,200.</w:t>
            </w:r>
          </w:p>
        </w:tc>
        <w:tc>
          <w:tcPr>
            <w:tcW w:type="dxa" w:w="1728"/>
          </w:tcPr>
          <w:p>
            <w:r>
              <w:t>CNBC / Bloomberg (Apr 14, 2026)</w:t>
            </w:r>
          </w:p>
        </w:tc>
        <w:tc>
          <w:tcPr>
            <w:tcW w:type="dxa" w:w="1728"/>
          </w:tcPr>
          <w:p>
            <w:r>
              <w:t>POSITIVE (earnings already reflected; 4.5% weight already increased post-beat)</w:t>
            </w:r>
          </w:p>
        </w:tc>
        <w:tc>
          <w:tcPr>
            <w:tcW w:type="dxa" w:w="2160"/>
          </w:tcPr>
          <w:p>
            <w:r>
              <w:t>HOLD 4.5% — thesis intact</w:t>
            </w:r>
          </w:p>
        </w:tc>
      </w:tr>
      <w:tr>
        <w:tc>
          <w:tcPr>
            <w:tcW w:type="dxa" w:w="1152"/>
          </w:tcPr>
          <w:p>
            <w:r>
              <w:t>UNH</w:t>
            </w:r>
          </w:p>
        </w:tc>
        <w:tc>
          <w:tcPr>
            <w:tcW w:type="dxa" w:w="3744"/>
          </w:tcPr>
          <w:p>
            <w:r>
              <w:t>Q1 earnings Tue Apr 21 pre-market. Zacks est. EPS $6.48 on $109.45B revenue; other analysts at $6.76 / $109.84B. CMS raised 2027 MA rates +2.48% (tailwind).</w:t>
            </w:r>
          </w:p>
        </w:tc>
        <w:tc>
          <w:tcPr>
            <w:tcW w:type="dxa" w:w="1728"/>
          </w:tcPr>
          <w:p>
            <w:r>
              <w:t>Zacks / Nasdaq (Apr 17-20, 2026)</w:t>
            </w:r>
          </w:p>
        </w:tc>
        <w:tc>
          <w:tcPr>
            <w:tcW w:type="dxa" w:w="1728"/>
          </w:tcPr>
          <w:p>
            <w:r>
              <w:t>POSITIVE (imminent catalyst, positioned)</w:t>
            </w:r>
          </w:p>
        </w:tc>
        <w:tc>
          <w:tcPr>
            <w:tcW w:type="dxa" w:w="2160"/>
          </w:tcPr>
          <w:p>
            <w:r>
              <w:t>POSITIONED — add 3.0%→3.5% on beat (fund from cash 20.0%→19.5%)</w:t>
            </w:r>
          </w:p>
        </w:tc>
      </w:tr>
      <w:tr>
        <w:tc>
          <w:tcPr>
            <w:tcW w:type="dxa" w:w="1152"/>
          </w:tcPr>
          <w:p>
            <w:r>
              <w:t>INTC</w:t>
            </w:r>
          </w:p>
        </w:tc>
        <w:tc>
          <w:tcPr>
            <w:tcW w:type="dxa" w:w="3744"/>
          </w:tcPr>
          <w:p>
            <w:r>
              <w:t>Q1 Wed Apr 23 post-market. Consensus: ~$12.3-12.4B rev, $0.05 non-GAAP EPS. Stock $68.50, +74% YTD; bullish options activity. 18A yield disclosure is the key test.</w:t>
            </w:r>
          </w:p>
        </w:tc>
        <w:tc>
          <w:tcPr>
            <w:tcW w:type="dxa" w:w="1728"/>
          </w:tcPr>
          <w:p>
            <w:r>
              <w:t>TradingKey / Motley Fool (Apr 17, 2026)</w:t>
            </w:r>
          </w:p>
        </w:tc>
        <w:tc>
          <w:tcPr>
            <w:tcW w:type="dxa" w:w="1728"/>
          </w:tcPr>
          <w:p>
            <w:r>
              <w:t>POSITIVE lean — but elevated entry; valuation risk</w:t>
            </w:r>
          </w:p>
        </w:tc>
        <w:tc>
          <w:tcPr>
            <w:tcW w:type="dxa" w:w="2160"/>
          </w:tcPr>
          <w:p>
            <w:r>
              <w:t>POSITIONED — enter 1.0-1.5% ONLY on beat + external 18A foundry customer / 18A yield ≥60%</w:t>
            </w:r>
          </w:p>
        </w:tc>
      </w:tr>
      <w:tr>
        <w:tc>
          <w:tcPr>
            <w:tcW w:type="dxa" w:w="1152"/>
          </w:tcPr>
          <w:p>
            <w:r>
              <w:t>LLY</w:t>
            </w:r>
          </w:p>
        </w:tc>
        <w:tc>
          <w:tcPr>
            <w:tcW w:type="dxa" w:w="3744"/>
          </w:tcPr>
          <w:p>
            <w:r>
              <w:t>~$925-927 Apr 20; intraday range $912.50-$929.00. Foundayo (oral GLP-1) FDA-approved Apr 1. Morgan Stanley PT raised to $1,327. Kelonia Therapeutics $2B acquisition in progress.</w:t>
            </w:r>
          </w:p>
        </w:tc>
        <w:tc>
          <w:tcPr>
            <w:tcW w:type="dxa" w:w="1728"/>
          </w:tcPr>
          <w:p>
            <w:r>
              <w:t>Yahoo Finance / StockTitan (Apr 20, 2026)</w:t>
            </w:r>
          </w:p>
        </w:tc>
        <w:tc>
          <w:tcPr>
            <w:tcW w:type="dxa" w:w="1728"/>
          </w:tcPr>
          <w:p>
            <w:r>
              <w:t>POSITIVE fundamentals; slight stock weakness</w:t>
            </w:r>
          </w:p>
        </w:tc>
        <w:tc>
          <w:tcPr>
            <w:tcW w:type="dxa" w:w="2160"/>
          </w:tcPr>
          <w:p>
            <w:r>
              <w:t>HOLD 4.0% — add 0.5% on sustained close &lt;$920</w:t>
            </w:r>
          </w:p>
        </w:tc>
      </w:tr>
      <w:tr>
        <w:tc>
          <w:tcPr>
            <w:tcW w:type="dxa" w:w="1152"/>
          </w:tcPr>
          <w:p>
            <w:r>
              <w:t>ORCL</w:t>
            </w:r>
          </w:p>
        </w:tc>
        <w:tc>
          <w:tcPr>
            <w:tcW w:type="dxa" w:w="3744"/>
          </w:tcPr>
          <w:p>
            <w:r>
              <w:t>Still elevated ~$178 after 20%+ two-day run; Bloom Energy 2.8GW fuel-cell deal; AWS multicloud interconnect expanded. Cloud rev +41% YoY, AI infra +243% YoY.</w:t>
            </w:r>
          </w:p>
        </w:tc>
        <w:tc>
          <w:tcPr>
            <w:tcW w:type="dxa" w:w="1728"/>
          </w:tcPr>
          <w:p>
            <w:r>
              <w:t>Motley Fool / Yahoo Finance (Apr 15-16, 2026)</w:t>
            </w:r>
          </w:p>
        </w:tc>
        <w:tc>
          <w:tcPr>
            <w:tcW w:type="dxa" w:w="1728"/>
          </w:tcPr>
          <w:p>
            <w:r>
              <w:t>POSITIVE fundamentals but do-not-chase price</w:t>
            </w:r>
          </w:p>
        </w:tc>
        <w:tc>
          <w:tcPr>
            <w:tcW w:type="dxa" w:w="2160"/>
          </w:tcPr>
          <w:p>
            <w:r>
              <w:t>HOLD 3.0% — await 8-10% pullback to add planned 0.5%</w:t>
            </w:r>
          </w:p>
        </w:tc>
      </w:tr>
      <w:tr>
        <w:tc>
          <w:tcPr>
            <w:tcW w:type="dxa" w:w="1152"/>
          </w:tcPr>
          <w:p>
            <w:r>
              <w:t>TSM</w:t>
            </w:r>
          </w:p>
        </w:tc>
        <w:tc>
          <w:tcPr>
            <w:tcW w:type="dxa" w:w="3744"/>
          </w:tcPr>
          <w:p>
            <w:r>
              <w:t>Stock ~$370.50 after 3.1% intraday dip post-earnings despite record results (profit +58% YoY, Q2 guide $39-40.2B). DA Davidson PT $450, Needham $480.</w:t>
            </w:r>
          </w:p>
        </w:tc>
        <w:tc>
          <w:tcPr>
            <w:tcW w:type="dxa" w:w="1728"/>
          </w:tcPr>
          <w:p>
            <w:r>
              <w:t>CNBC / Barchart (Apr 16-19, 2026)</w:t>
            </w:r>
          </w:p>
        </w:tc>
        <w:tc>
          <w:tcPr>
            <w:tcW w:type="dxa" w:w="1728"/>
          </w:tcPr>
          <w:p>
            <w:r>
              <w:t>POSITIVE (muted reaction = continued accumulation zone)</w:t>
            </w:r>
          </w:p>
        </w:tc>
        <w:tc>
          <w:tcPr>
            <w:tcW w:type="dxa" w:w="2160"/>
          </w:tcPr>
          <w:p>
            <w:r>
              <w:t>HOLD 3.0% (recently increased from 2.5%)</w:t>
            </w:r>
          </w:p>
        </w:tc>
      </w:tr>
      <w:tr>
        <w:tc>
          <w:tcPr>
            <w:tcW w:type="dxa" w:w="1152"/>
          </w:tcPr>
          <w:p>
            <w:r>
              <w:t>NVDA</w:t>
            </w:r>
          </w:p>
        </w:tc>
        <w:tc>
          <w:tcPr>
            <w:tcW w:type="dxa" w:w="3744"/>
          </w:tcPr>
          <w:p>
            <w:r>
              <w:t>$199-201 range. Pre-market -0.94%. Strong Buy consensus, PT $264.54; Q1 FY26 revenue +65% YoY. Next earnings May 20.</w:t>
            </w:r>
          </w:p>
        </w:tc>
        <w:tc>
          <w:tcPr>
            <w:tcW w:type="dxa" w:w="1728"/>
          </w:tcPr>
          <w:p>
            <w:r>
              <w:t>Yahoo Finance / Stockanalysis.com (Apr 20, 2026)</w:t>
            </w:r>
          </w:p>
        </w:tc>
        <w:tc>
          <w:tcPr>
            <w:tcW w:type="dxa" w:w="1728"/>
          </w:tcPr>
          <w:p>
            <w:r>
              <w:t>NEUTRAL (fundamentals strong, consolidating)</w:t>
            </w:r>
          </w:p>
        </w:tc>
        <w:tc>
          <w:tcPr>
            <w:tcW w:type="dxa" w:w="2160"/>
          </w:tcPr>
          <w:p>
            <w:r>
              <w:t>HOLD 6.5% — largest conviction position</w:t>
            </w:r>
          </w:p>
        </w:tc>
      </w:tr>
      <w:tr>
        <w:tc>
          <w:tcPr>
            <w:tcW w:type="dxa" w:w="1152"/>
          </w:tcPr>
          <w:p>
            <w:r>
              <w:t>AMZN</w:t>
            </w:r>
          </w:p>
        </w:tc>
        <w:tc>
          <w:tcPr>
            <w:tcW w:type="dxa" w:w="3744"/>
          </w:tcPr>
          <w:p>
            <w:r>
              <w:t>$250.74. Keybanc PT raised to $325 (from $285), Overweight. 2026 capex guide $200B (largest ever). AWS AI rev crossed $10B annualized. Q1 earnings Apr 30.</w:t>
            </w:r>
          </w:p>
        </w:tc>
        <w:tc>
          <w:tcPr>
            <w:tcW w:type="dxa" w:w="1728"/>
          </w:tcPr>
          <w:p>
            <w:r>
              <w:t>GuruFocus / Yahoo Finance (Apr 20, 2026)</w:t>
            </w:r>
          </w:p>
        </w:tc>
        <w:tc>
          <w:tcPr>
            <w:tcW w:type="dxa" w:w="1728"/>
          </w:tcPr>
          <w:p>
            <w:r>
              <w:t>POSITIVE</w:t>
            </w:r>
          </w:p>
        </w:tc>
        <w:tc>
          <w:tcPr>
            <w:tcW w:type="dxa" w:w="2160"/>
          </w:tcPr>
          <w:p>
            <w:r>
              <w:t>HOLD 5.5% — earnings catalyst 10 days out</w:t>
            </w:r>
          </w:p>
        </w:tc>
      </w:tr>
      <w:tr>
        <w:tc>
          <w:tcPr>
            <w:tcW w:type="dxa" w:w="1152"/>
          </w:tcPr>
          <w:p>
            <w:r>
              <w:t>MSFT</w:t>
            </w:r>
          </w:p>
        </w:tc>
        <w:tc>
          <w:tcPr>
            <w:tcW w:type="dxa" w:w="3744"/>
          </w:tcPr>
          <w:p>
            <w:r>
              <w:t>$422.34, recovering 15% off late-March lows. Q3 FY26 earnings Apr 29. OpenAI $600B capex (cut from $1.4T) may compress $625B backlog disclosure.</w:t>
            </w:r>
          </w:p>
        </w:tc>
        <w:tc>
          <w:tcPr>
            <w:tcW w:type="dxa" w:w="1728"/>
          </w:tcPr>
          <w:p>
            <w:r>
              <w:t>Motley Fool / TipRanks (Apr 15-20, 2026)</w:t>
            </w:r>
          </w:p>
        </w:tc>
        <w:tc>
          <w:tcPr>
            <w:tcW w:type="dxa" w:w="1728"/>
          </w:tcPr>
          <w:p>
            <w:r>
              <w:t>POSITIVE lean (recovery underway)</w:t>
            </w:r>
          </w:p>
        </w:tc>
        <w:tc>
          <w:tcPr>
            <w:tcW w:type="dxa" w:w="2160"/>
          </w:tcPr>
          <w:p>
            <w:r>
              <w:t>HOLD 4.0% — Apr 29 earnings catalyst</w:t>
            </w:r>
          </w:p>
        </w:tc>
      </w:tr>
      <w:tr>
        <w:tc>
          <w:tcPr>
            <w:tcW w:type="dxa" w:w="1152"/>
          </w:tcPr>
          <w:p>
            <w:r>
              <w:t>GOOGL</w:t>
            </w:r>
          </w:p>
        </w:tc>
        <w:tc>
          <w:tcPr>
            <w:tcW w:type="dxa" w:w="3744"/>
          </w:tcPr>
          <w:p>
            <w:r>
              <w:t>$340.65. Gemini app 750M MAUs (up from 450M). Search rev +17% YoY. Turning to Marvell for AI chips (diversifying from AVGO). Q1 earnings Apr 27.</w:t>
            </w:r>
          </w:p>
        </w:tc>
        <w:tc>
          <w:tcPr>
            <w:tcW w:type="dxa" w:w="1728"/>
          </w:tcPr>
          <w:p>
            <w:r>
              <w:t>CNN / Yahoo (Apr 19, 2026)</w:t>
            </w:r>
          </w:p>
        </w:tc>
        <w:tc>
          <w:tcPr>
            <w:tcW w:type="dxa" w:w="1728"/>
          </w:tcPr>
          <w:p>
            <w:r>
              <w:t>POSITIVE</w:t>
            </w:r>
          </w:p>
        </w:tc>
        <w:tc>
          <w:tcPr>
            <w:tcW w:type="dxa" w:w="2160"/>
          </w:tcPr>
          <w:p>
            <w:r>
              <w:t>HOLD 3.0%</w:t>
            </w:r>
          </w:p>
        </w:tc>
      </w:tr>
      <w:tr>
        <w:tc>
          <w:tcPr>
            <w:tcW w:type="dxa" w:w="1152"/>
          </w:tcPr>
          <w:p>
            <w:r>
              <w:t>META</w:t>
            </w:r>
          </w:p>
        </w:tc>
        <w:tc>
          <w:tcPr>
            <w:tcW w:type="dxa" w:w="3744"/>
          </w:tcPr>
          <w:p>
            <w:r>
              <w:t>~$675, below 200DMA of $683. Below 52W high $796.25. Consumer AI model launch pending; Q1 earnings Apr 29 (conf call 5:30p ET).</w:t>
            </w:r>
          </w:p>
        </w:tc>
        <w:tc>
          <w:tcPr>
            <w:tcW w:type="dxa" w:w="1728"/>
          </w:tcPr>
          <w:p>
            <w:r>
              <w:t>TradingKey / 247WallSt (Apr 15, 2026)</w:t>
            </w:r>
          </w:p>
        </w:tc>
        <w:tc>
          <w:tcPr>
            <w:tcW w:type="dxa" w:w="1728"/>
          </w:tcPr>
          <w:p>
            <w:r>
              <w:t>NEUTRAL (consolidation into earnings)</w:t>
            </w:r>
          </w:p>
        </w:tc>
        <w:tc>
          <w:tcPr>
            <w:tcW w:type="dxa" w:w="2160"/>
          </w:tcPr>
          <w:p>
            <w:r>
              <w:t>HOLD 4.5%</w:t>
            </w:r>
          </w:p>
        </w:tc>
      </w:tr>
      <w:tr>
        <w:tc>
          <w:tcPr>
            <w:tcW w:type="dxa" w:w="1152"/>
          </w:tcPr>
          <w:p>
            <w:r>
              <w:t>AVGO</w:t>
            </w:r>
          </w:p>
        </w:tc>
        <w:tc>
          <w:tcPr>
            <w:tcW w:type="dxa" w:w="3744"/>
          </w:tcPr>
          <w:p>
            <w:r>
              <w:t>$406.06. Seaport downgrade to Hold (Apr 9) on valuation; Google/Meta AI deals offset. PT $438.43.</w:t>
            </w:r>
          </w:p>
        </w:tc>
        <w:tc>
          <w:tcPr>
            <w:tcW w:type="dxa" w:w="1728"/>
          </w:tcPr>
          <w:p>
            <w:r>
              <w:t>CNN / Stockanalysis (Apr 19, 2026)</w:t>
            </w:r>
          </w:p>
        </w:tc>
        <w:tc>
          <w:tcPr>
            <w:tcW w:type="dxa" w:w="1728"/>
          </w:tcPr>
          <w:p>
            <w:r>
              <w:t>NEUTRAL (mixed signals)</w:t>
            </w:r>
          </w:p>
        </w:tc>
        <w:tc>
          <w:tcPr>
            <w:tcW w:type="dxa" w:w="2160"/>
          </w:tcPr>
          <w:p>
            <w:r>
              <w:t>HOLD 4.0%</w:t>
            </w:r>
          </w:p>
        </w:tc>
      </w:tr>
      <w:tr>
        <w:tc>
          <w:tcPr>
            <w:tcW w:type="dxa" w:w="1152"/>
          </w:tcPr>
          <w:p>
            <w:r>
              <w:t>PANW</w:t>
            </w:r>
          </w:p>
        </w:tc>
        <w:tc>
          <w:tcPr>
            <w:tcW w:type="dxa" w:w="3744"/>
          </w:tcPr>
          <w:p>
            <w:r>
              <w:t>PT $216.28 (consensus Buy). Anthropic Project Glasswing collaboration (Apr 7) supportive for endpoint thesis.</w:t>
            </w:r>
          </w:p>
        </w:tc>
        <w:tc>
          <w:tcPr>
            <w:tcW w:type="dxa" w:w="1728"/>
          </w:tcPr>
          <w:p>
            <w:r>
              <w:t>Stockanalysis / Industry news</w:t>
            </w:r>
          </w:p>
        </w:tc>
        <w:tc>
          <w:tcPr>
            <w:tcW w:type="dxa" w:w="1728"/>
          </w:tcPr>
          <w:p>
            <w:r>
              <w:t>POSITIVE</w:t>
            </w:r>
          </w:p>
        </w:tc>
        <w:tc>
          <w:tcPr>
            <w:tcW w:type="dxa" w:w="2160"/>
          </w:tcPr>
          <w:p>
            <w:r>
              <w:t>HOLD 4.0%</w:t>
            </w:r>
          </w:p>
        </w:tc>
      </w:tr>
      <w:tr>
        <w:tc>
          <w:tcPr>
            <w:tcW w:type="dxa" w:w="1152"/>
          </w:tcPr>
          <w:p>
            <w:r>
              <w:t>PLTR</w:t>
            </w:r>
          </w:p>
        </w:tc>
        <w:tc>
          <w:tcPr>
            <w:tcW w:type="dxa" w:w="3744"/>
          </w:tcPr>
          <w:p>
            <w:r>
              <w:t>~$146, recovering from early-April $128 low. FAA air-traffic AI contract shortlist. Iran war contract tailwinds. +55% YoY.</w:t>
            </w:r>
          </w:p>
        </w:tc>
        <w:tc>
          <w:tcPr>
            <w:tcW w:type="dxa" w:w="1728"/>
          </w:tcPr>
          <w:p>
            <w:r>
              <w:t>Foreign Policy Journal / Capital.com (Apr 20, 2026)</w:t>
            </w:r>
          </w:p>
        </w:tc>
        <w:tc>
          <w:tcPr>
            <w:tcW w:type="dxa" w:w="1728"/>
          </w:tcPr>
          <w:p>
            <w:r>
              <w:t>POSITIVE</w:t>
            </w:r>
          </w:p>
        </w:tc>
        <w:tc>
          <w:tcPr>
            <w:tcW w:type="dxa" w:w="2160"/>
          </w:tcPr>
          <w:p>
            <w:r>
              <w:t>HOLD 3.0%</w:t>
            </w:r>
          </w:p>
        </w:tc>
      </w:tr>
      <w:tr>
        <w:tc>
          <w:tcPr>
            <w:tcW w:type="dxa" w:w="1152"/>
          </w:tcPr>
          <w:p>
            <w:r>
              <w:t>MU</w:t>
            </w:r>
          </w:p>
        </w:tc>
        <w:tc>
          <w:tcPr>
            <w:tcW w:type="dxa" w:w="3744"/>
          </w:tcPr>
          <w:p>
            <w:r>
              <w:t>$452-457 after touching 52W high $471.34 Mar 18. Last Q: EPS $12.20 vs $9.19 est. (+32.8% surprise). +544% multi-year run on AI memory demand.</w:t>
            </w:r>
          </w:p>
        </w:tc>
        <w:tc>
          <w:tcPr>
            <w:tcW w:type="dxa" w:w="1728"/>
          </w:tcPr>
          <w:p>
            <w:r>
              <w:t>Motley Fool / Trefis (Apr 15-16, 2026)</w:t>
            </w:r>
          </w:p>
        </w:tc>
        <w:tc>
          <w:tcPr>
            <w:tcW w:type="dxa" w:w="1728"/>
          </w:tcPr>
          <w:p>
            <w:r>
              <w:t>POSITIVE fundamentals; some consolidation</w:t>
            </w:r>
          </w:p>
        </w:tc>
        <w:tc>
          <w:tcPr>
            <w:tcW w:type="dxa" w:w="2160"/>
          </w:tcPr>
          <w:p>
            <w:r>
              <w:t>HOLD 2.5%</w:t>
            </w:r>
          </w:p>
        </w:tc>
      </w:tr>
      <w:tr>
        <w:tc>
          <w:tcPr>
            <w:tcW w:type="dxa" w:w="1152"/>
          </w:tcPr>
          <w:p>
            <w:r>
              <w:t>XOM / EOG</w:t>
            </w:r>
          </w:p>
        </w:tc>
        <w:tc>
          <w:tcPr>
            <w:tcW w:type="dxa" w:w="3744"/>
          </w:tcPr>
          <w:p>
            <w:r>
              <w:t>WTI ~$89-90 with Iran Hormuz reflare. XOM +27.6% YTD at $152.23. Trim trigger of sustained WTI&lt;$90 is ACTIVE edge case.</w:t>
            </w:r>
          </w:p>
        </w:tc>
        <w:tc>
          <w:tcPr>
            <w:tcW w:type="dxa" w:w="1728"/>
          </w:tcPr>
          <w:p>
            <w:r>
              <w:t>Yahoo Finance / Zacks (Apr 17-20, 2026)</w:t>
            </w:r>
          </w:p>
        </w:tc>
        <w:tc>
          <w:tcPr>
            <w:tcW w:type="dxa" w:w="1728"/>
          </w:tcPr>
          <w:p>
            <w:r>
              <w:t>NEUTRAL (geopolitical whipsaw)</w:t>
            </w:r>
          </w:p>
        </w:tc>
        <w:tc>
          <w:tcPr>
            <w:tcW w:type="dxa" w:w="2160"/>
          </w:tcPr>
          <w:p>
            <w:r>
              <w:t>HOLD XOM 2.5% / EOG 2.0% — activate trim ONLY on sustained close WTI&lt;$90</w:t>
            </w:r>
          </w:p>
        </w:tc>
      </w:tr>
      <w:tr>
        <w:tc>
          <w:tcPr>
            <w:tcW w:type="dxa" w:w="1152"/>
          </w:tcPr>
          <w:p>
            <w:r>
              <w:t>NFLX</w:t>
            </w:r>
          </w:p>
        </w:tc>
        <w:tc>
          <w:tcPr>
            <w:tcW w:type="dxa" w:w="3744"/>
          </w:tcPr>
          <w:p>
            <w:r>
              <w:t>Q1 rev $12.25B (+16% YoY), EPS $1.23 vs $0.78 est. — BUT Q2 guide light; Hastings stepping down after 29 years. On track for $3B ad rev 2026.</w:t>
            </w:r>
          </w:p>
        </w:tc>
        <w:tc>
          <w:tcPr>
            <w:tcW w:type="dxa" w:w="1728"/>
          </w:tcPr>
          <w:p>
            <w:r>
              <w:t>Bloomberg / CNBC (Apr 16, 2026)</w:t>
            </w:r>
          </w:p>
        </w:tc>
        <w:tc>
          <w:tcPr>
            <w:tcW w:type="dxa" w:w="1728"/>
          </w:tcPr>
          <w:p>
            <w:r>
              <w:t>MIXED (beat on top/bottom, weak guide, CEO transition)</w:t>
            </w:r>
          </w:p>
        </w:tc>
        <w:tc>
          <w:tcPr>
            <w:tcW w:type="dxa" w:w="2160"/>
          </w:tcPr>
          <w:p>
            <w:r>
              <w:t>HOLD 1.5% — monitor for weakness extension</w:t>
            </w:r>
          </w:p>
        </w:tc>
      </w:tr>
      <w:tr>
        <w:tc>
          <w:tcPr>
            <w:tcW w:type="dxa" w:w="1152"/>
          </w:tcPr>
          <w:p>
            <w:r>
              <w:t>DASH</w:t>
            </w:r>
          </w:p>
        </w:tc>
        <w:tc>
          <w:tcPr>
            <w:tcW w:type="dxa" w:w="3744"/>
          </w:tcPr>
          <w:p>
            <w:r>
              <w:t>+8.2% Apr 15 on autonomous-delivery expansion (Wing into Atlanta; ALSO EV partnership). JPM maintains Buy; MoffettNathanson PT trimmed $279→$276.</w:t>
            </w:r>
          </w:p>
        </w:tc>
        <w:tc>
          <w:tcPr>
            <w:tcW w:type="dxa" w:w="1728"/>
          </w:tcPr>
          <w:p>
            <w:r>
              <w:t>QuiverQuant / TipRanks (Apr 15, 2026)</w:t>
            </w:r>
          </w:p>
        </w:tc>
        <w:tc>
          <w:tcPr>
            <w:tcW w:type="dxa" w:w="1728"/>
          </w:tcPr>
          <w:p>
            <w:r>
              <w:t>POSITIVE</w:t>
            </w:r>
          </w:p>
        </w:tc>
        <w:tc>
          <w:tcPr>
            <w:tcW w:type="dxa" w:w="2160"/>
          </w:tcPr>
          <w:p>
            <w:r>
              <w:t>HOLD 2.0%</w:t>
            </w:r>
          </w:p>
        </w:tc>
      </w:tr>
      <w:tr>
        <w:tc>
          <w:tcPr>
            <w:tcW w:type="dxa" w:w="1152"/>
          </w:tcPr>
          <w:p>
            <w:r>
              <w:t>NEE</w:t>
            </w:r>
          </w:p>
        </w:tc>
        <w:tc>
          <w:tcPr>
            <w:tcW w:type="dxa" w:w="3744"/>
          </w:tcPr>
          <w:p>
            <w:r>
              <w:t>Jefferies PT raised $87→$92 (Hold). Texas data-center gas plant (US-Japan deal). Q1 earnings Thu Apr 23 pre-market.</w:t>
            </w:r>
          </w:p>
        </w:tc>
        <w:tc>
          <w:tcPr>
            <w:tcW w:type="dxa" w:w="1728"/>
          </w:tcPr>
          <w:p>
            <w:r>
              <w:t>Newsroom.nexteraenergy / Yahoo Finance (Apr 9, 2026)</w:t>
            </w:r>
          </w:p>
        </w:tc>
        <w:tc>
          <w:tcPr>
            <w:tcW w:type="dxa" w:w="1728"/>
          </w:tcPr>
          <w:p>
            <w:r>
              <w:t>POSITIVE (imminent catalyst)</w:t>
            </w:r>
          </w:p>
        </w:tc>
        <w:tc>
          <w:tcPr>
            <w:tcW w:type="dxa" w:w="2160"/>
          </w:tcPr>
          <w:p>
            <w:r>
              <w:t>HOLD 2.0% — Apr 23 earnings watch</w:t>
            </w:r>
          </w:p>
        </w:tc>
      </w:tr>
      <w:tr>
        <w:tc>
          <w:tcPr>
            <w:tcW w:type="dxa" w:w="1152"/>
          </w:tcPr>
          <w:p>
            <w:r>
              <w:t>ABBV</w:t>
            </w:r>
          </w:p>
        </w:tc>
        <w:tc>
          <w:tcPr>
            <w:tcW w:type="dxa" w:w="3744"/>
          </w:tcPr>
          <w:p>
            <w:r>
              <w:t>FY26 guide $14.37-14.57 EPS; Q1 guide $2.97-3.01. Haisco licensing deal ~$715-745M. Next dividend May 15.</w:t>
            </w:r>
          </w:p>
        </w:tc>
        <w:tc>
          <w:tcPr>
            <w:tcW w:type="dxa" w:w="1728"/>
          </w:tcPr>
          <w:p>
            <w:r>
              <w:t>IndexBox / American Banking News (Apr 16, 2026)</w:t>
            </w:r>
          </w:p>
        </w:tc>
        <w:tc>
          <w:tcPr>
            <w:tcW w:type="dxa" w:w="1728"/>
          </w:tcPr>
          <w:p>
            <w:r>
              <w:t>NEUTRAL</w:t>
            </w:r>
          </w:p>
        </w:tc>
        <w:tc>
          <w:tcPr>
            <w:tcW w:type="dxa" w:w="2160"/>
          </w:tcPr>
          <w:p>
            <w:r>
              <w:t>HOLD 1.5%</w:t>
            </w:r>
          </w:p>
        </w:tc>
      </w:tr>
      <w:tr>
        <w:tc>
          <w:tcPr>
            <w:tcW w:type="dxa" w:w="1152"/>
          </w:tcPr>
          <w:p>
            <w:r>
              <w:t>COST / V / VUG / SCHD / QQQ</w:t>
            </w:r>
          </w:p>
        </w:tc>
        <w:tc>
          <w:tcPr>
            <w:tcW w:type="dxa" w:w="3744"/>
          </w:tcPr>
          <w:p>
            <w:r>
              <w:t>No stock-specific catalysts today. ETF flows: QQQ +$4.13B 5-day net inflows. Broad-market posture constructive outside Iran headline risk.</w:t>
            </w:r>
          </w:p>
        </w:tc>
        <w:tc>
          <w:tcPr>
            <w:tcW w:type="dxa" w:w="1728"/>
          </w:tcPr>
          <w:p>
            <w:r>
              <w:t>ETFdb / financecharts (Apr 2026)</w:t>
            </w:r>
          </w:p>
        </w:tc>
        <w:tc>
          <w:tcPr>
            <w:tcW w:type="dxa" w:w="1728"/>
          </w:tcPr>
          <w:p>
            <w:r>
              <w:t>NEUTRAL</w:t>
            </w:r>
          </w:p>
        </w:tc>
        <w:tc>
          <w:tcPr>
            <w:tcW w:type="dxa" w:w="2160"/>
          </w:tcPr>
          <w:p>
            <w:r>
              <w:t>HOLD all core ETF and defensive positions</w:t>
            </w:r>
          </w:p>
        </w:tc>
      </w:tr>
    </w:tbl>
    <w:p>
      <w:r>
        <w:br w:type="page"/>
      </w:r>
    </w:p>
    <w:p>
      <w:pPr>
        <w:pStyle w:val="Heading1"/>
      </w:pPr>
      <w:r>
        <w:rPr>
          <w:color w:val="1F3A5F"/>
        </w:rPr>
        <w:t>3. SCAN 2 — New Opportunities &amp; Watchlist Triggers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F3A5F"/>
          </w:tcPr>
          <w:p>
            <w:r>
              <w:rPr>
                <w:b/>
                <w:color w:val="FFFFFF"/>
              </w:rPr>
              <w:t>Ticker</w:t>
            </w:r>
          </w:p>
        </w:tc>
        <w:tc>
          <w:tcPr>
            <w:tcW w:type="dxa" w:w="2160"/>
            <w:shd w:fill="1F3A5F"/>
          </w:tcPr>
          <w:p>
            <w:r>
              <w:rPr>
                <w:b/>
                <w:color w:val="FFFFFF"/>
              </w:rPr>
              <w:t>Current Status</w:t>
            </w:r>
          </w:p>
        </w:tc>
        <w:tc>
          <w:tcPr>
            <w:tcW w:type="dxa" w:w="2160"/>
            <w:shd w:fill="1F3A5F"/>
          </w:tcPr>
          <w:p>
            <w:r>
              <w:rPr>
                <w:b/>
                <w:color w:val="FFFFFF"/>
              </w:rPr>
              <w:t>Catalyst / Evidence</w:t>
            </w:r>
          </w:p>
        </w:tc>
        <w:tc>
          <w:tcPr>
            <w:tcW w:type="dxa" w:w="2160"/>
            <w:shd w:fill="1F3A5F"/>
          </w:tcPr>
          <w:p>
            <w:r>
              <w:rPr>
                <w:b/>
                <w:color w:val="FFFFFF"/>
              </w:rPr>
              <w:t>Action</w:t>
            </w:r>
          </w:p>
        </w:tc>
      </w:tr>
      <w:tr>
        <w:tc>
          <w:tcPr>
            <w:tcW w:type="dxa" w:w="2160"/>
          </w:tcPr>
          <w:p>
            <w:r>
              <w:t>CRWD</w:t>
            </w:r>
          </w:p>
        </w:tc>
        <w:tc>
          <w:tcPr>
            <w:tcW w:type="dxa" w:w="2160"/>
          </w:tcPr>
          <w:p>
            <w:r>
              <w:t>$424 (up from ~$395-400 consolidation post Apr 14 spike)</w:t>
            </w:r>
          </w:p>
        </w:tc>
        <w:tc>
          <w:tcPr>
            <w:tcW w:type="dxa" w:w="2160"/>
          </w:tcPr>
          <w:p>
            <w:r>
              <w:t>Anthropic Project Glasswing (Apr 7) supportive; Gartner Customers' Choice SIEM 2026</w:t>
            </w:r>
          </w:p>
        </w:tc>
        <w:tc>
          <w:tcPr>
            <w:tcW w:type="dxa" w:w="2160"/>
          </w:tcPr>
          <w:p>
            <w:r>
              <w:t>TRIGGER DEFERRED — our entry threshold was &lt;$385; stock now 10% above trigger. WAIT.</w:t>
            </w:r>
          </w:p>
        </w:tc>
      </w:tr>
      <w:tr>
        <w:tc>
          <w:tcPr>
            <w:tcW w:type="dxa" w:w="2160"/>
          </w:tcPr>
          <w:p>
            <w:r>
              <w:t>INTC</w:t>
            </w:r>
          </w:p>
        </w:tc>
        <w:tc>
          <w:tcPr>
            <w:tcW w:type="dxa" w:w="2160"/>
          </w:tcPr>
          <w:p>
            <w:r>
              <w:t>$68.50, +74% YTD, near 26-year high</w:t>
            </w:r>
          </w:p>
        </w:tc>
        <w:tc>
          <w:tcPr>
            <w:tcW w:type="dxa" w:w="2160"/>
          </w:tcPr>
          <w:p>
            <w:r>
              <w:t>Q1 earnings Wed Apr 23 post-market. Consensus Hold, avg PT $53.72 (implies downside if weak). Three tests: Xeon AI, 18A customer name, foundry loss pace</w:t>
            </w:r>
          </w:p>
        </w:tc>
        <w:tc>
          <w:tcPr>
            <w:tcW w:type="dxa" w:w="2160"/>
          </w:tcPr>
          <w:p>
            <w:r>
              <w:t>POSITIONED — enter 1.0-1.5% ONLY on: (1) rev beat, (2) 18A yield ≥60% confirmation, (3) external foundry customer disclosure. Otherwise PASS.</w:t>
            </w:r>
          </w:p>
        </w:tc>
      </w:tr>
      <w:tr>
        <w:tc>
          <w:tcPr>
            <w:tcW w:type="dxa" w:w="2160"/>
          </w:tcPr>
          <w:p>
            <w:r>
              <w:t>SPOT</w:t>
            </w:r>
          </w:p>
        </w:tc>
        <w:tc>
          <w:tcPr>
            <w:tcW w:type="dxa" w:w="2160"/>
          </w:tcPr>
          <w:p>
            <w:r>
              <w:t>~$750 (target entry &lt;$700)</w:t>
            </w:r>
          </w:p>
        </w:tc>
        <w:tc>
          <w:tcPr>
            <w:tcW w:type="dxa" w:w="2160"/>
          </w:tcPr>
          <w:p>
            <w:r>
              <w:t>Goldman upgraded to Buy (PT $700 from $735 Neutral); BofA cites pricing power; AI 'prompted playlist' launched; Q1 earnings upcoming</w:t>
            </w:r>
          </w:p>
        </w:tc>
        <w:tc>
          <w:tcPr>
            <w:tcW w:type="dxa" w:w="2160"/>
          </w:tcPr>
          <w:p>
            <w:r>
              <w:t>TRIGGER NEAR — add to formal watchlist for &lt;$700 entry or post-earnings dip</w:t>
            </w:r>
          </w:p>
        </w:tc>
      </w:tr>
      <w:tr>
        <w:tc>
          <w:tcPr>
            <w:tcW w:type="dxa" w:w="2160"/>
          </w:tcPr>
          <w:p>
            <w:r>
              <w:t>ARM</w:t>
            </w:r>
          </w:p>
        </w:tc>
        <w:tc>
          <w:tcPr>
            <w:tcW w:type="dxa" w:w="2160"/>
          </w:tcPr>
          <w:p>
            <w:r>
              <w:t>No material news today</w:t>
            </w:r>
          </w:p>
        </w:tc>
        <w:tc>
          <w:tcPr>
            <w:tcW w:type="dxa" w:w="2160"/>
          </w:tcPr>
          <w:p>
            <w:r>
              <w:t>Semi cycle positive reads from TSM Q1 and MU strength</w:t>
            </w:r>
          </w:p>
        </w:tc>
        <w:tc>
          <w:tcPr>
            <w:tcW w:type="dxa" w:w="2160"/>
          </w:tcPr>
          <w:p>
            <w:r>
              <w:t>HOLD watchlist — await specific catalyst</w:t>
            </w:r>
          </w:p>
        </w:tc>
      </w:tr>
      <w:tr>
        <w:tc>
          <w:tcPr>
            <w:tcW w:type="dxa" w:w="2160"/>
          </w:tcPr>
          <w:p>
            <w:r>
              <w:t>GS</w:t>
            </w:r>
          </w:p>
        </w:tc>
        <w:tc>
          <w:tcPr>
            <w:tcW w:type="dxa" w:w="2160"/>
          </w:tcPr>
          <w:p>
            <w:r>
              <w:t>No specific action-worthy news today</w:t>
            </w:r>
          </w:p>
        </w:tc>
        <w:tc>
          <w:tcPr>
            <w:tcW w:type="dxa" w:w="2160"/>
          </w:tcPr>
          <w:p>
            <w:r>
              <w:t>Market volatility env; Q1 reported (in-line)</w:t>
            </w:r>
          </w:p>
        </w:tc>
        <w:tc>
          <w:tcPr>
            <w:tcW w:type="dxa" w:w="2160"/>
          </w:tcPr>
          <w:p>
            <w:r>
              <w:t>HOLD watchlist</w:t>
            </w:r>
          </w:p>
        </w:tc>
      </w:tr>
    </w:tbl>
    <w:p/>
    <w:p>
      <w:r>
        <w:rPr>
          <w:b/>
        </w:rPr>
        <w:t xml:space="preserve">Top-down scan: </w:t>
      </w:r>
      <w:r>
        <w:t>2026 top-buy lists (Motley Fool, Seeking Alpha) continue to emphasize semi/AI infra, quality software (MSFT/GOOGL), and select healthcare (LLY/UNH). No fresh name to add today outside existing watchlist — the book already has meaningful exposure to each theme.</w:t>
      </w:r>
    </w:p>
    <w:p>
      <w:pPr>
        <w:pStyle w:val="Heading1"/>
      </w:pPr>
      <w:r>
        <w:rPr>
          <w:color w:val="1F3A5F"/>
        </w:rPr>
        <w:t>4. Cash Recommendation</w:t>
      </w:r>
    </w:p>
    <w:p>
      <w:r>
        <w:rPr>
          <w:b/>
        </w:rPr>
        <w:t xml:space="preserve">Current cash: </w:t>
      </w:r>
      <w:r>
        <w:t xml:space="preserve">20.0% (well above 15% floor, below 25% crisis ceiling). </w:t>
      </w:r>
    </w:p>
    <w:p>
      <w:r>
        <w:rPr>
          <w:b/>
        </w:rPr>
        <w:t xml:space="preserve">Decision: MAINTAIN 20.0% today. </w:t>
      </w:r>
      <w:r>
        <w:t>VIX at ~17.5 is normalized — no case for raising toward 25%. However, two imminent binary events (UNH tomorrow, INTC Wed) plus re-escalating Iran/Hormuz weekend headlines argue against dropping toward 17%. Preserve full deployment optionality for UNH beat (3.0%→3.5%, -0.5% cash) and INTC contingent entry (1.0-1.5%, -1.0 to -1.5% cash), with residual buffer remaining ≥17.5% after both fire.</w:t>
      </w:r>
    </w:p>
    <w:p/>
    <w:p>
      <w:pPr>
        <w:pStyle w:val="Heading1"/>
      </w:pPr>
      <w:r>
        <w:rPr>
          <w:color w:val="1F3A5F"/>
        </w:rPr>
        <w:t>5. Pending Catalysts — Status Update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F3A5F"/>
          </w:tcPr>
          <w:p>
            <w:r>
              <w:rPr>
                <w:b/>
                <w:color w:val="FFFFFF"/>
              </w:rPr>
              <w:t>Catalyst</w:t>
            </w:r>
          </w:p>
        </w:tc>
        <w:tc>
          <w:tcPr>
            <w:tcW w:type="dxa" w:w="2160"/>
            <w:shd w:fill="1F3A5F"/>
          </w:tcPr>
          <w:p>
            <w:r>
              <w:rPr>
                <w:b/>
                <w:color w:val="FFFFFF"/>
              </w:rPr>
              <w:t>Date</w:t>
            </w:r>
          </w:p>
        </w:tc>
        <w:tc>
          <w:tcPr>
            <w:tcW w:type="dxa" w:w="2160"/>
            <w:shd w:fill="1F3A5F"/>
          </w:tcPr>
          <w:p>
            <w:r>
              <w:rPr>
                <w:b/>
                <w:color w:val="FFFFFF"/>
              </w:rPr>
              <w:t>Condition</w:t>
            </w:r>
          </w:p>
        </w:tc>
        <w:tc>
          <w:tcPr>
            <w:tcW w:type="dxa" w:w="2160"/>
            <w:shd w:fill="1F3A5F"/>
          </w:tcPr>
          <w:p>
            <w:r>
              <w:rPr>
                <w:b/>
                <w:color w:val="FFFFFF"/>
              </w:rPr>
              <w:t>Status</w:t>
            </w:r>
          </w:p>
        </w:tc>
      </w:tr>
      <w:tr>
        <w:tc>
          <w:tcPr>
            <w:tcW w:type="dxa" w:w="2160"/>
          </w:tcPr>
          <w:p>
            <w:r>
              <w:t>JPM Q1 2026 + CRWD add</w:t>
            </w:r>
          </w:p>
        </w:tc>
        <w:tc>
          <w:tcPr>
            <w:tcW w:type="dxa" w:w="2160"/>
          </w:tcPr>
          <w:p>
            <w:r>
              <w:t>Apr 14 ✓</w:t>
            </w:r>
          </w:p>
        </w:tc>
        <w:tc>
          <w:tcPr>
            <w:tcW w:type="dxa" w:w="2160"/>
          </w:tcPr>
          <w:p>
            <w:r>
              <w:t>Beat + strong NII → JPM 4.0→4.5%, CRWD 1.5%</w:t>
            </w:r>
          </w:p>
        </w:tc>
        <w:tc>
          <w:tcPr>
            <w:tcW w:type="dxa" w:w="2160"/>
          </w:tcPr>
          <w:p>
            <w:r>
              <w:t>JPM executed (4.5%). CRWD deferred: entry was &lt;$385; now $424. Pending pullback.</w:t>
            </w:r>
          </w:p>
        </w:tc>
      </w:tr>
      <w:tr>
        <w:tc>
          <w:tcPr>
            <w:tcW w:type="dxa" w:w="2160"/>
          </w:tcPr>
          <w:p>
            <w:r>
              <w:t>UNH Q1 2026</w:t>
            </w:r>
          </w:p>
        </w:tc>
        <w:tc>
          <w:tcPr>
            <w:tcW w:type="dxa" w:w="2160"/>
          </w:tcPr>
          <w:p>
            <w:r>
              <w:t>Apr 21 (TUE)</w:t>
            </w:r>
          </w:p>
        </w:tc>
        <w:tc>
          <w:tcPr>
            <w:tcW w:type="dxa" w:w="2160"/>
          </w:tcPr>
          <w:p>
            <w:r>
              <w:t>Beat → UNH 3.0→3.5% (fund from cash)</w:t>
            </w:r>
          </w:p>
        </w:tc>
        <w:tc>
          <w:tcPr>
            <w:tcW w:type="dxa" w:w="2160"/>
          </w:tcPr>
          <w:p>
            <w:r>
              <w:t>POSITIONED (est. $6.48-6.76 EPS; Zacks ESP +2.77%; CMS MA tailwind)</w:t>
            </w:r>
          </w:p>
        </w:tc>
      </w:tr>
      <w:tr>
        <w:tc>
          <w:tcPr>
            <w:tcW w:type="dxa" w:w="2160"/>
          </w:tcPr>
          <w:p>
            <w:r>
              <w:t>INTC Q1 2026</w:t>
            </w:r>
          </w:p>
        </w:tc>
        <w:tc>
          <w:tcPr>
            <w:tcW w:type="dxa" w:w="2160"/>
          </w:tcPr>
          <w:p>
            <w:r>
              <w:t>Apr 23 (WED post-mkt)</w:t>
            </w:r>
          </w:p>
        </w:tc>
        <w:tc>
          <w:tcPr>
            <w:tcW w:type="dxa" w:w="2160"/>
          </w:tcPr>
          <w:p>
            <w:r>
              <w:t>Beat + 18A yield confirm → enter 1.0-1.5%</w:t>
            </w:r>
          </w:p>
        </w:tc>
        <w:tc>
          <w:tcPr>
            <w:tcW w:type="dxa" w:w="2160"/>
          </w:tcPr>
          <w:p>
            <w:r>
              <w:t>POSITIONED (est. $12.3B rev, $0.05 EPS; stock +74% YTD — high bar)</w:t>
            </w:r>
          </w:p>
        </w:tc>
      </w:tr>
      <w:tr>
        <w:tc>
          <w:tcPr>
            <w:tcW w:type="dxa" w:w="2160"/>
          </w:tcPr>
          <w:p>
            <w:r>
              <w:t>LLY &lt;$920</w:t>
            </w:r>
          </w:p>
        </w:tc>
        <w:tc>
          <w:tcPr>
            <w:tcW w:type="dxa" w:w="2160"/>
          </w:tcPr>
          <w:p>
            <w:r>
              <w:t>Ongoing</w:t>
            </w:r>
          </w:p>
        </w:tc>
        <w:tc>
          <w:tcPr>
            <w:tcW w:type="dxa" w:w="2160"/>
          </w:tcPr>
          <w:p>
            <w:r>
              <w:t>Sustained close &lt;$920 → add 0.5% (4.0→4.5%)</w:t>
            </w:r>
          </w:p>
        </w:tc>
        <w:tc>
          <w:tcPr>
            <w:tcW w:type="dxa" w:w="2160"/>
          </w:tcPr>
          <w:p>
            <w:r>
              <w:t>NOT HIT. Apr 20 close ~$925-927 ($6+ above trigger)</w:t>
            </w:r>
          </w:p>
        </w:tc>
      </w:tr>
      <w:tr>
        <w:tc>
          <w:tcPr>
            <w:tcW w:type="dxa" w:w="2160"/>
          </w:tcPr>
          <w:p>
            <w:r>
              <w:t>ORCL pullback entry</w:t>
            </w:r>
          </w:p>
        </w:tc>
        <w:tc>
          <w:tcPr>
            <w:tcW w:type="dxa" w:w="2160"/>
          </w:tcPr>
          <w:p>
            <w:r>
              <w:t>Ongoing</w:t>
            </w:r>
          </w:p>
        </w:tc>
        <w:tc>
          <w:tcPr>
            <w:tcW w:type="dxa" w:w="2160"/>
          </w:tcPr>
          <w:p>
            <w:r>
              <w:t>8-10% pullback → add 0.5% (3.0→3.5%)</w:t>
            </w:r>
          </w:p>
        </w:tc>
        <w:tc>
          <w:tcPr>
            <w:tcW w:type="dxa" w:w="2160"/>
          </w:tcPr>
          <w:p>
            <w:r>
              <w:t>NOT HIT. Still elevated post 20%+ two-day run.</w:t>
            </w:r>
          </w:p>
        </w:tc>
      </w:tr>
      <w:tr>
        <w:tc>
          <w:tcPr>
            <w:tcW w:type="dxa" w:w="2160"/>
          </w:tcPr>
          <w:p>
            <w:r>
              <w:t>XOM/EOG trim</w:t>
            </w:r>
          </w:p>
        </w:tc>
        <w:tc>
          <w:tcPr>
            <w:tcW w:type="dxa" w:w="2160"/>
          </w:tcPr>
          <w:p>
            <w:r>
              <w:t>Ongoing</w:t>
            </w:r>
          </w:p>
        </w:tc>
        <w:tc>
          <w:tcPr>
            <w:tcW w:type="dxa" w:w="2160"/>
          </w:tcPr>
          <w:p>
            <w:r>
              <w:t>Sustained close WTI&lt;$90 → trim XOM 2.5→2.0, EOG 2.0→1.5</w:t>
            </w:r>
          </w:p>
        </w:tc>
        <w:tc>
          <w:tcPr>
            <w:tcW w:type="dxa" w:w="2160"/>
          </w:tcPr>
          <w:p>
            <w:r>
              <w:t>ACTIVE EDGE (WTI ~$89-90 with Iran reflare volatility — monitor intraday)</w:t>
            </w:r>
          </w:p>
        </w:tc>
      </w:tr>
    </w:tbl>
    <w:p>
      <w:pPr>
        <w:pStyle w:val="Heading1"/>
      </w:pPr>
      <w:r>
        <w:rPr>
          <w:color w:val="1F3A5F"/>
        </w:rPr>
        <w:t>6. Recommended Weight Changes</w:t>
      </w:r>
    </w:p>
    <w:p>
      <w:r>
        <w:rPr>
          <w:b/>
        </w:rPr>
        <w:t xml:space="preserve">No immediate (pre-market Apr 20) weight changes. </w:t>
      </w:r>
      <w:r>
        <w:t>The portfolio enters the week with two imminent catalysts and two conditional intraday triggers. All changes remain contingent on conditions being met:</w:t>
      </w:r>
    </w:p>
    <w:tbl>
      <w:tblPr>
        <w:tblStyle w:val="LightGrid-Accent1"/>
        <w:tblW w:type="auto" w:w="0"/>
        <w:tblLook w:firstColumn="1" w:firstRow="1" w:lastColumn="0" w:lastRow="0" w:noHBand="0" w:noVBand="1" w:val="04A0"/>
      </w:tblPr>
      <w:tblGrid>
        <w:gridCol w:w="2880"/>
        <w:gridCol w:w="2880"/>
        <w:gridCol w:w="2880"/>
      </w:tblGrid>
      <w:tr>
        <w:tc>
          <w:tcPr>
            <w:tcW w:type="dxa" w:w="2880"/>
            <w:shd w:fill="1F3A5F"/>
          </w:tcPr>
          <w:p>
            <w:r>
              <w:rPr>
                <w:b/>
                <w:color w:val="FFFFFF"/>
              </w:rPr>
              <w:t>Contingent Action</w:t>
            </w:r>
          </w:p>
        </w:tc>
        <w:tc>
          <w:tcPr>
            <w:tcW w:type="dxa" w:w="2880"/>
            <w:shd w:fill="1F3A5F"/>
          </w:tcPr>
          <w:p>
            <w:r>
              <w:rPr>
                <w:b/>
                <w:color w:val="FFFFFF"/>
              </w:rPr>
              <w:t>Condition</w:t>
            </w:r>
          </w:p>
        </w:tc>
        <w:tc>
          <w:tcPr>
            <w:tcW w:type="dxa" w:w="2880"/>
            <w:shd w:fill="1F3A5F"/>
          </w:tcPr>
          <w:p>
            <w:r>
              <w:rPr>
                <w:b/>
                <w:color w:val="FFFFFF"/>
              </w:rPr>
              <w:t>Net Effect</w:t>
            </w:r>
          </w:p>
        </w:tc>
      </w:tr>
      <w:tr>
        <w:tc>
          <w:tcPr>
            <w:tcW w:type="dxa" w:w="2880"/>
          </w:tcPr>
          <w:p>
            <w:r>
              <w:t>UNH 3.0% → 3.5%</w:t>
            </w:r>
          </w:p>
        </w:tc>
        <w:tc>
          <w:tcPr>
            <w:tcW w:type="dxa" w:w="2880"/>
          </w:tcPr>
          <w:p>
            <w:r>
              <w:t>UNH Apr 21 pre-market beat</w:t>
            </w:r>
          </w:p>
        </w:tc>
        <w:tc>
          <w:tcPr>
            <w:tcW w:type="dxa" w:w="2880"/>
          </w:tcPr>
          <w:p>
            <w:r>
              <w:t>Cash 20.0% → 19.5%</w:t>
            </w:r>
          </w:p>
        </w:tc>
      </w:tr>
      <w:tr>
        <w:tc>
          <w:tcPr>
            <w:tcW w:type="dxa" w:w="2880"/>
          </w:tcPr>
          <w:p>
            <w:r>
              <w:t>INTC 0% → 1.0-1.5%</w:t>
            </w:r>
          </w:p>
        </w:tc>
        <w:tc>
          <w:tcPr>
            <w:tcW w:type="dxa" w:w="2880"/>
          </w:tcPr>
          <w:p>
            <w:r>
              <w:t>INTC Apr 23 beat + 18A yield ≥60% + external foundry customer</w:t>
            </w:r>
          </w:p>
        </w:tc>
        <w:tc>
          <w:tcPr>
            <w:tcW w:type="dxa" w:w="2880"/>
          </w:tcPr>
          <w:p>
            <w:r>
              <w:t>Cash 19.5% → 18.0-18.5%</w:t>
            </w:r>
          </w:p>
        </w:tc>
      </w:tr>
      <w:tr>
        <w:tc>
          <w:tcPr>
            <w:tcW w:type="dxa" w:w="2880"/>
          </w:tcPr>
          <w:p>
            <w:r>
              <w:t>LLY 4.0% → 4.5%</w:t>
            </w:r>
          </w:p>
        </w:tc>
        <w:tc>
          <w:tcPr>
            <w:tcW w:type="dxa" w:w="2880"/>
          </w:tcPr>
          <w:p>
            <w:r>
              <w:t>Sustained close &lt;$920</w:t>
            </w:r>
          </w:p>
        </w:tc>
        <w:tc>
          <w:tcPr>
            <w:tcW w:type="dxa" w:w="2880"/>
          </w:tcPr>
          <w:p>
            <w:r>
              <w:t>Cash -0.5%</w:t>
            </w:r>
          </w:p>
        </w:tc>
      </w:tr>
      <w:tr>
        <w:tc>
          <w:tcPr>
            <w:tcW w:type="dxa" w:w="2880"/>
          </w:tcPr>
          <w:p>
            <w:r>
              <w:t>XOM 2.5% → 2.0%; EOG 2.0% → 1.5%</w:t>
            </w:r>
          </w:p>
        </w:tc>
        <w:tc>
          <w:tcPr>
            <w:tcW w:type="dxa" w:w="2880"/>
          </w:tcPr>
          <w:p>
            <w:r>
              <w:t>Sustained WTI&lt;$90 close</w:t>
            </w:r>
          </w:p>
        </w:tc>
        <w:tc>
          <w:tcPr>
            <w:tcW w:type="dxa" w:w="2880"/>
          </w:tcPr>
          <w:p>
            <w:r>
              <w:t>Cash +1.0%</w:t>
            </w:r>
          </w:p>
        </w:tc>
      </w:tr>
    </w:tbl>
    <w:p/>
    <w:p>
      <w:r>
        <w:rPr>
          <w:b/>
        </w:rPr>
        <w:t xml:space="preserve">Post-action cash bound: </w:t>
      </w:r>
      <w:r>
        <w:t>If all four fire in sequence, cash reaches approximately 18.0-19.0% — still comfortably above 15% floor. Full 100.0% integrity preserved.</w:t>
      </w:r>
    </w:p>
    <w:p>
      <w:r>
        <w:br w:type="page"/>
      </w:r>
    </w:p>
    <w:p>
      <w:pPr>
        <w:pStyle w:val="Heading1"/>
      </w:pPr>
      <w:r>
        <w:rPr>
          <w:color w:val="1F3A5F"/>
        </w:rPr>
        <w:t>7. Full Portfolio Table — April 20, 2026</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1F3A5F"/>
          </w:tcPr>
          <w:p>
            <w:r>
              <w:rPr>
                <w:b/>
                <w:color w:val="FFFFFF"/>
              </w:rPr>
              <w:t>#</w:t>
            </w:r>
          </w:p>
        </w:tc>
        <w:tc>
          <w:tcPr>
            <w:tcW w:type="dxa" w:w="2160"/>
            <w:shd w:fill="1F3A5F"/>
          </w:tcPr>
          <w:p>
            <w:r>
              <w:rPr>
                <w:b/>
                <w:color w:val="FFFFFF"/>
              </w:rPr>
              <w:t>Ticker</w:t>
            </w:r>
          </w:p>
        </w:tc>
        <w:tc>
          <w:tcPr>
            <w:tcW w:type="dxa" w:w="2160"/>
            <w:shd w:fill="1F3A5F"/>
          </w:tcPr>
          <w:p>
            <w:r>
              <w:rPr>
                <w:b/>
                <w:color w:val="FFFFFF"/>
              </w:rPr>
              <w:t>Sector / Category</w:t>
            </w:r>
          </w:p>
        </w:tc>
        <w:tc>
          <w:tcPr>
            <w:tcW w:type="dxa" w:w="2160"/>
            <w:shd w:fill="1F3A5F"/>
          </w:tcPr>
          <w:p>
            <w:r>
              <w:rPr>
                <w:b/>
                <w:color w:val="FFFFFF"/>
              </w:rPr>
              <w:t>Weight</w:t>
            </w:r>
          </w:p>
        </w:tc>
      </w:tr>
      <w:tr>
        <w:tc>
          <w:tcPr>
            <w:tcW w:type="dxa" w:w="2160"/>
          </w:tcPr>
          <w:p>
            <w:r>
              <w:t>1</w:t>
            </w:r>
          </w:p>
        </w:tc>
        <w:tc>
          <w:tcPr>
            <w:tcW w:type="dxa" w:w="2160"/>
          </w:tcPr>
          <w:p>
            <w:r>
              <w:t>NVDA</w:t>
            </w:r>
          </w:p>
        </w:tc>
        <w:tc>
          <w:tcPr>
            <w:tcW w:type="dxa" w:w="2160"/>
          </w:tcPr>
          <w:p>
            <w:r>
              <w:t>Technology – AI Infrastructure</w:t>
            </w:r>
          </w:p>
        </w:tc>
        <w:tc>
          <w:tcPr>
            <w:tcW w:type="dxa" w:w="2160"/>
          </w:tcPr>
          <w:p>
            <w:r>
              <w:t>6.5%</w:t>
            </w:r>
          </w:p>
        </w:tc>
      </w:tr>
      <w:tr>
        <w:tc>
          <w:tcPr>
            <w:tcW w:type="dxa" w:w="2160"/>
          </w:tcPr>
          <w:p>
            <w:r>
              <w:t>2</w:t>
            </w:r>
          </w:p>
        </w:tc>
        <w:tc>
          <w:tcPr>
            <w:tcW w:type="dxa" w:w="2160"/>
          </w:tcPr>
          <w:p>
            <w:r>
              <w:t>AMZN</w:t>
            </w:r>
          </w:p>
        </w:tc>
        <w:tc>
          <w:tcPr>
            <w:tcW w:type="dxa" w:w="2160"/>
          </w:tcPr>
          <w:p>
            <w:r>
              <w:t>Technology – Cloud / E-Commerce</w:t>
            </w:r>
          </w:p>
        </w:tc>
        <w:tc>
          <w:tcPr>
            <w:tcW w:type="dxa" w:w="2160"/>
          </w:tcPr>
          <w:p>
            <w:r>
              <w:t>5.5%</w:t>
            </w:r>
          </w:p>
        </w:tc>
      </w:tr>
      <w:tr>
        <w:tc>
          <w:tcPr>
            <w:tcW w:type="dxa" w:w="2160"/>
          </w:tcPr>
          <w:p>
            <w:r>
              <w:t>3</w:t>
            </w:r>
          </w:p>
        </w:tc>
        <w:tc>
          <w:tcPr>
            <w:tcW w:type="dxa" w:w="2160"/>
          </w:tcPr>
          <w:p>
            <w:r>
              <w:t>META</w:t>
            </w:r>
          </w:p>
        </w:tc>
        <w:tc>
          <w:tcPr>
            <w:tcW w:type="dxa" w:w="2160"/>
          </w:tcPr>
          <w:p>
            <w:r>
              <w:t>Communication Services</w:t>
            </w:r>
          </w:p>
        </w:tc>
        <w:tc>
          <w:tcPr>
            <w:tcW w:type="dxa" w:w="2160"/>
          </w:tcPr>
          <w:p>
            <w:r>
              <w:t>4.5%</w:t>
            </w:r>
          </w:p>
        </w:tc>
      </w:tr>
      <w:tr>
        <w:tc>
          <w:tcPr>
            <w:tcW w:type="dxa" w:w="2160"/>
          </w:tcPr>
          <w:p>
            <w:r>
              <w:t>4</w:t>
            </w:r>
          </w:p>
        </w:tc>
        <w:tc>
          <w:tcPr>
            <w:tcW w:type="dxa" w:w="2160"/>
          </w:tcPr>
          <w:p>
            <w:r>
              <w:t>JPM</w:t>
            </w:r>
          </w:p>
        </w:tc>
        <w:tc>
          <w:tcPr>
            <w:tcW w:type="dxa" w:w="2160"/>
          </w:tcPr>
          <w:p>
            <w:r>
              <w:t>Financials – Banking</w:t>
            </w:r>
          </w:p>
        </w:tc>
        <w:tc>
          <w:tcPr>
            <w:tcW w:type="dxa" w:w="2160"/>
          </w:tcPr>
          <w:p>
            <w:r>
              <w:t>4.5%</w:t>
            </w:r>
          </w:p>
        </w:tc>
      </w:tr>
      <w:tr>
        <w:tc>
          <w:tcPr>
            <w:tcW w:type="dxa" w:w="2160"/>
          </w:tcPr>
          <w:p>
            <w:r>
              <w:t>5</w:t>
            </w:r>
          </w:p>
        </w:tc>
        <w:tc>
          <w:tcPr>
            <w:tcW w:type="dxa" w:w="2160"/>
          </w:tcPr>
          <w:p>
            <w:r>
              <w:t>LLY</w:t>
            </w:r>
          </w:p>
        </w:tc>
        <w:tc>
          <w:tcPr>
            <w:tcW w:type="dxa" w:w="2160"/>
          </w:tcPr>
          <w:p>
            <w:r>
              <w:t>Healthcare – Pharmaceuticals</w:t>
            </w:r>
          </w:p>
        </w:tc>
        <w:tc>
          <w:tcPr>
            <w:tcW w:type="dxa" w:w="2160"/>
          </w:tcPr>
          <w:p>
            <w:r>
              <w:t>4.0%</w:t>
            </w:r>
          </w:p>
        </w:tc>
      </w:tr>
      <w:tr>
        <w:tc>
          <w:tcPr>
            <w:tcW w:type="dxa" w:w="2160"/>
          </w:tcPr>
          <w:p>
            <w:r>
              <w:t>6</w:t>
            </w:r>
          </w:p>
        </w:tc>
        <w:tc>
          <w:tcPr>
            <w:tcW w:type="dxa" w:w="2160"/>
          </w:tcPr>
          <w:p>
            <w:r>
              <w:t>AVGO</w:t>
            </w:r>
          </w:p>
        </w:tc>
        <w:tc>
          <w:tcPr>
            <w:tcW w:type="dxa" w:w="2160"/>
          </w:tcPr>
          <w:p>
            <w:r>
              <w:t>Technology – Semiconductors</w:t>
            </w:r>
          </w:p>
        </w:tc>
        <w:tc>
          <w:tcPr>
            <w:tcW w:type="dxa" w:w="2160"/>
          </w:tcPr>
          <w:p>
            <w:r>
              <w:t>4.0%</w:t>
            </w:r>
          </w:p>
        </w:tc>
      </w:tr>
      <w:tr>
        <w:tc>
          <w:tcPr>
            <w:tcW w:type="dxa" w:w="2160"/>
          </w:tcPr>
          <w:p>
            <w:r>
              <w:t>7</w:t>
            </w:r>
          </w:p>
        </w:tc>
        <w:tc>
          <w:tcPr>
            <w:tcW w:type="dxa" w:w="2160"/>
          </w:tcPr>
          <w:p>
            <w:r>
              <w:t>MSFT</w:t>
            </w:r>
          </w:p>
        </w:tc>
        <w:tc>
          <w:tcPr>
            <w:tcW w:type="dxa" w:w="2160"/>
          </w:tcPr>
          <w:p>
            <w:r>
              <w:t>Technology – Enterprise Software</w:t>
            </w:r>
          </w:p>
        </w:tc>
        <w:tc>
          <w:tcPr>
            <w:tcW w:type="dxa" w:w="2160"/>
          </w:tcPr>
          <w:p>
            <w:r>
              <w:t>4.0%</w:t>
            </w:r>
          </w:p>
        </w:tc>
      </w:tr>
      <w:tr>
        <w:tc>
          <w:tcPr>
            <w:tcW w:type="dxa" w:w="2160"/>
          </w:tcPr>
          <w:p>
            <w:r>
              <w:t>8</w:t>
            </w:r>
          </w:p>
        </w:tc>
        <w:tc>
          <w:tcPr>
            <w:tcW w:type="dxa" w:w="2160"/>
          </w:tcPr>
          <w:p>
            <w:r>
              <w:t>PANW</w:t>
            </w:r>
          </w:p>
        </w:tc>
        <w:tc>
          <w:tcPr>
            <w:tcW w:type="dxa" w:w="2160"/>
          </w:tcPr>
          <w:p>
            <w:r>
              <w:t>Technology – Cybersecurity</w:t>
            </w:r>
          </w:p>
        </w:tc>
        <w:tc>
          <w:tcPr>
            <w:tcW w:type="dxa" w:w="2160"/>
          </w:tcPr>
          <w:p>
            <w:r>
              <w:t>4.0%</w:t>
            </w:r>
          </w:p>
        </w:tc>
      </w:tr>
      <w:tr>
        <w:tc>
          <w:tcPr>
            <w:tcW w:type="dxa" w:w="2160"/>
          </w:tcPr>
          <w:p>
            <w:r>
              <w:t>9</w:t>
            </w:r>
          </w:p>
        </w:tc>
        <w:tc>
          <w:tcPr>
            <w:tcW w:type="dxa" w:w="2160"/>
          </w:tcPr>
          <w:p>
            <w:r>
              <w:t>QQQ</w:t>
            </w:r>
          </w:p>
        </w:tc>
        <w:tc>
          <w:tcPr>
            <w:tcW w:type="dxa" w:w="2160"/>
          </w:tcPr>
          <w:p>
            <w:r>
              <w:t>ETF – Nasdaq-100</w:t>
            </w:r>
          </w:p>
        </w:tc>
        <w:tc>
          <w:tcPr>
            <w:tcW w:type="dxa" w:w="2160"/>
          </w:tcPr>
          <w:p>
            <w:r>
              <w:t>3.5%</w:t>
            </w:r>
          </w:p>
        </w:tc>
      </w:tr>
      <w:tr>
        <w:tc>
          <w:tcPr>
            <w:tcW w:type="dxa" w:w="2160"/>
          </w:tcPr>
          <w:p>
            <w:r>
              <w:t>10</w:t>
            </w:r>
          </w:p>
        </w:tc>
        <w:tc>
          <w:tcPr>
            <w:tcW w:type="dxa" w:w="2160"/>
          </w:tcPr>
          <w:p>
            <w:r>
              <w:t>GOOGL</w:t>
            </w:r>
          </w:p>
        </w:tc>
        <w:tc>
          <w:tcPr>
            <w:tcW w:type="dxa" w:w="2160"/>
          </w:tcPr>
          <w:p>
            <w:r>
              <w:t>Technology – Search / Cloud</w:t>
            </w:r>
          </w:p>
        </w:tc>
        <w:tc>
          <w:tcPr>
            <w:tcW w:type="dxa" w:w="2160"/>
          </w:tcPr>
          <w:p>
            <w:r>
              <w:t>3.0%</w:t>
            </w:r>
          </w:p>
        </w:tc>
      </w:tr>
      <w:tr>
        <w:tc>
          <w:tcPr>
            <w:tcW w:type="dxa" w:w="2160"/>
          </w:tcPr>
          <w:p>
            <w:r>
              <w:t>11</w:t>
            </w:r>
          </w:p>
        </w:tc>
        <w:tc>
          <w:tcPr>
            <w:tcW w:type="dxa" w:w="2160"/>
          </w:tcPr>
          <w:p>
            <w:r>
              <w:t>PLTR</w:t>
            </w:r>
          </w:p>
        </w:tc>
        <w:tc>
          <w:tcPr>
            <w:tcW w:type="dxa" w:w="2160"/>
          </w:tcPr>
          <w:p>
            <w:r>
              <w:t>Technology – AI Software</w:t>
            </w:r>
          </w:p>
        </w:tc>
        <w:tc>
          <w:tcPr>
            <w:tcW w:type="dxa" w:w="2160"/>
          </w:tcPr>
          <w:p>
            <w:r>
              <w:t>3.0%</w:t>
            </w:r>
          </w:p>
        </w:tc>
      </w:tr>
      <w:tr>
        <w:tc>
          <w:tcPr>
            <w:tcW w:type="dxa" w:w="2160"/>
          </w:tcPr>
          <w:p>
            <w:r>
              <w:t>12</w:t>
            </w:r>
          </w:p>
        </w:tc>
        <w:tc>
          <w:tcPr>
            <w:tcW w:type="dxa" w:w="2160"/>
          </w:tcPr>
          <w:p>
            <w:r>
              <w:t>UNH</w:t>
            </w:r>
          </w:p>
        </w:tc>
        <w:tc>
          <w:tcPr>
            <w:tcW w:type="dxa" w:w="2160"/>
          </w:tcPr>
          <w:p>
            <w:r>
              <w:t>Healthcare – Managed Care</w:t>
            </w:r>
          </w:p>
        </w:tc>
        <w:tc>
          <w:tcPr>
            <w:tcW w:type="dxa" w:w="2160"/>
          </w:tcPr>
          <w:p>
            <w:r>
              <w:t>3.0%</w:t>
            </w:r>
          </w:p>
        </w:tc>
      </w:tr>
      <w:tr>
        <w:tc>
          <w:tcPr>
            <w:tcW w:type="dxa" w:w="2160"/>
          </w:tcPr>
          <w:p>
            <w:r>
              <w:t>13</w:t>
            </w:r>
          </w:p>
        </w:tc>
        <w:tc>
          <w:tcPr>
            <w:tcW w:type="dxa" w:w="2160"/>
          </w:tcPr>
          <w:p>
            <w:r>
              <w:t>V</w:t>
            </w:r>
          </w:p>
        </w:tc>
        <w:tc>
          <w:tcPr>
            <w:tcW w:type="dxa" w:w="2160"/>
          </w:tcPr>
          <w:p>
            <w:r>
              <w:t>Financials – Payments</w:t>
            </w:r>
          </w:p>
        </w:tc>
        <w:tc>
          <w:tcPr>
            <w:tcW w:type="dxa" w:w="2160"/>
          </w:tcPr>
          <w:p>
            <w:r>
              <w:t>3.0%</w:t>
            </w:r>
          </w:p>
        </w:tc>
      </w:tr>
      <w:tr>
        <w:tc>
          <w:tcPr>
            <w:tcW w:type="dxa" w:w="2160"/>
          </w:tcPr>
          <w:p>
            <w:r>
              <w:t>14</w:t>
            </w:r>
          </w:p>
        </w:tc>
        <w:tc>
          <w:tcPr>
            <w:tcW w:type="dxa" w:w="2160"/>
          </w:tcPr>
          <w:p>
            <w:r>
              <w:t>ORCL</w:t>
            </w:r>
          </w:p>
        </w:tc>
        <w:tc>
          <w:tcPr>
            <w:tcW w:type="dxa" w:w="2160"/>
          </w:tcPr>
          <w:p>
            <w:r>
              <w:t>Technology – Cloud Database</w:t>
            </w:r>
          </w:p>
        </w:tc>
        <w:tc>
          <w:tcPr>
            <w:tcW w:type="dxa" w:w="2160"/>
          </w:tcPr>
          <w:p>
            <w:r>
              <w:t>3.0%</w:t>
            </w:r>
          </w:p>
        </w:tc>
      </w:tr>
      <w:tr>
        <w:tc>
          <w:tcPr>
            <w:tcW w:type="dxa" w:w="2160"/>
          </w:tcPr>
          <w:p>
            <w:r>
              <w:t>15</w:t>
            </w:r>
          </w:p>
        </w:tc>
        <w:tc>
          <w:tcPr>
            <w:tcW w:type="dxa" w:w="2160"/>
          </w:tcPr>
          <w:p>
            <w:r>
              <w:t>TSM</w:t>
            </w:r>
          </w:p>
        </w:tc>
        <w:tc>
          <w:tcPr>
            <w:tcW w:type="dxa" w:w="2160"/>
          </w:tcPr>
          <w:p>
            <w:r>
              <w:t>Technology – Foundry</w:t>
            </w:r>
          </w:p>
        </w:tc>
        <w:tc>
          <w:tcPr>
            <w:tcW w:type="dxa" w:w="2160"/>
          </w:tcPr>
          <w:p>
            <w:r>
              <w:t>3.0%</w:t>
            </w:r>
          </w:p>
        </w:tc>
      </w:tr>
      <w:tr>
        <w:tc>
          <w:tcPr>
            <w:tcW w:type="dxa" w:w="2160"/>
          </w:tcPr>
          <w:p>
            <w:r>
              <w:t>16</w:t>
            </w:r>
          </w:p>
        </w:tc>
        <w:tc>
          <w:tcPr>
            <w:tcW w:type="dxa" w:w="2160"/>
          </w:tcPr>
          <w:p>
            <w:r>
              <w:t>XOM</w:t>
            </w:r>
          </w:p>
        </w:tc>
        <w:tc>
          <w:tcPr>
            <w:tcW w:type="dxa" w:w="2160"/>
          </w:tcPr>
          <w:p>
            <w:r>
              <w:t>Energy – Integrated Oil &amp; Gas</w:t>
            </w:r>
          </w:p>
        </w:tc>
        <w:tc>
          <w:tcPr>
            <w:tcW w:type="dxa" w:w="2160"/>
          </w:tcPr>
          <w:p>
            <w:r>
              <w:t>2.5%</w:t>
            </w:r>
          </w:p>
        </w:tc>
      </w:tr>
      <w:tr>
        <w:tc>
          <w:tcPr>
            <w:tcW w:type="dxa" w:w="2160"/>
          </w:tcPr>
          <w:p>
            <w:r>
              <w:t>17</w:t>
            </w:r>
          </w:p>
        </w:tc>
        <w:tc>
          <w:tcPr>
            <w:tcW w:type="dxa" w:w="2160"/>
          </w:tcPr>
          <w:p>
            <w:r>
              <w:t>VUG</w:t>
            </w:r>
          </w:p>
        </w:tc>
        <w:tc>
          <w:tcPr>
            <w:tcW w:type="dxa" w:w="2160"/>
          </w:tcPr>
          <w:p>
            <w:r>
              <w:t>ETF – Large-Cap Growth</w:t>
            </w:r>
          </w:p>
        </w:tc>
        <w:tc>
          <w:tcPr>
            <w:tcW w:type="dxa" w:w="2160"/>
          </w:tcPr>
          <w:p>
            <w:r>
              <w:t>2.5%</w:t>
            </w:r>
          </w:p>
        </w:tc>
      </w:tr>
      <w:tr>
        <w:tc>
          <w:tcPr>
            <w:tcW w:type="dxa" w:w="2160"/>
          </w:tcPr>
          <w:p>
            <w:r>
              <w:t>18</w:t>
            </w:r>
          </w:p>
        </w:tc>
        <w:tc>
          <w:tcPr>
            <w:tcW w:type="dxa" w:w="2160"/>
          </w:tcPr>
          <w:p>
            <w:r>
              <w:t>SCHD</w:t>
            </w:r>
          </w:p>
        </w:tc>
        <w:tc>
          <w:tcPr>
            <w:tcW w:type="dxa" w:w="2160"/>
          </w:tcPr>
          <w:p>
            <w:r>
              <w:t>ETF – Dividend / Income</w:t>
            </w:r>
          </w:p>
        </w:tc>
        <w:tc>
          <w:tcPr>
            <w:tcW w:type="dxa" w:w="2160"/>
          </w:tcPr>
          <w:p>
            <w:r>
              <w:t>2.5%</w:t>
            </w:r>
          </w:p>
        </w:tc>
      </w:tr>
      <w:tr>
        <w:tc>
          <w:tcPr>
            <w:tcW w:type="dxa" w:w="2160"/>
          </w:tcPr>
          <w:p>
            <w:r>
              <w:t>19</w:t>
            </w:r>
          </w:p>
        </w:tc>
        <w:tc>
          <w:tcPr>
            <w:tcW w:type="dxa" w:w="2160"/>
          </w:tcPr>
          <w:p>
            <w:r>
              <w:t>MU</w:t>
            </w:r>
          </w:p>
        </w:tc>
        <w:tc>
          <w:tcPr>
            <w:tcW w:type="dxa" w:w="2160"/>
          </w:tcPr>
          <w:p>
            <w:r>
              <w:t>Technology – Memory</w:t>
            </w:r>
          </w:p>
        </w:tc>
        <w:tc>
          <w:tcPr>
            <w:tcW w:type="dxa" w:w="2160"/>
          </w:tcPr>
          <w:p>
            <w:r>
              <w:t>2.5%</w:t>
            </w:r>
          </w:p>
        </w:tc>
      </w:tr>
      <w:tr>
        <w:tc>
          <w:tcPr>
            <w:tcW w:type="dxa" w:w="2160"/>
          </w:tcPr>
          <w:p>
            <w:r>
              <w:t>20</w:t>
            </w:r>
          </w:p>
        </w:tc>
        <w:tc>
          <w:tcPr>
            <w:tcW w:type="dxa" w:w="2160"/>
          </w:tcPr>
          <w:p>
            <w:r>
              <w:t>COST</w:t>
            </w:r>
          </w:p>
        </w:tc>
        <w:tc>
          <w:tcPr>
            <w:tcW w:type="dxa" w:w="2160"/>
          </w:tcPr>
          <w:p>
            <w:r>
              <w:t>Consumer Staples</w:t>
            </w:r>
          </w:p>
        </w:tc>
        <w:tc>
          <w:tcPr>
            <w:tcW w:type="dxa" w:w="2160"/>
          </w:tcPr>
          <w:p>
            <w:r>
              <w:t>2.5%</w:t>
            </w:r>
          </w:p>
        </w:tc>
      </w:tr>
      <w:tr>
        <w:tc>
          <w:tcPr>
            <w:tcW w:type="dxa" w:w="2160"/>
          </w:tcPr>
          <w:p>
            <w:r>
              <w:t>21</w:t>
            </w:r>
          </w:p>
        </w:tc>
        <w:tc>
          <w:tcPr>
            <w:tcW w:type="dxa" w:w="2160"/>
          </w:tcPr>
          <w:p>
            <w:r>
              <w:t>EOG</w:t>
            </w:r>
          </w:p>
        </w:tc>
        <w:tc>
          <w:tcPr>
            <w:tcW w:type="dxa" w:w="2160"/>
          </w:tcPr>
          <w:p>
            <w:r>
              <w:t>Energy – E&amp;P</w:t>
            </w:r>
          </w:p>
        </w:tc>
        <w:tc>
          <w:tcPr>
            <w:tcW w:type="dxa" w:w="2160"/>
          </w:tcPr>
          <w:p>
            <w:r>
              <w:t>2.0%</w:t>
            </w:r>
          </w:p>
        </w:tc>
      </w:tr>
      <w:tr>
        <w:tc>
          <w:tcPr>
            <w:tcW w:type="dxa" w:w="2160"/>
          </w:tcPr>
          <w:p>
            <w:r>
              <w:t>22</w:t>
            </w:r>
          </w:p>
        </w:tc>
        <w:tc>
          <w:tcPr>
            <w:tcW w:type="dxa" w:w="2160"/>
          </w:tcPr>
          <w:p>
            <w:r>
              <w:t>DASH</w:t>
            </w:r>
          </w:p>
        </w:tc>
        <w:tc>
          <w:tcPr>
            <w:tcW w:type="dxa" w:w="2160"/>
          </w:tcPr>
          <w:p>
            <w:r>
              <w:t>Consumer Discretionary</w:t>
            </w:r>
          </w:p>
        </w:tc>
        <w:tc>
          <w:tcPr>
            <w:tcW w:type="dxa" w:w="2160"/>
          </w:tcPr>
          <w:p>
            <w:r>
              <w:t>2.0%</w:t>
            </w:r>
          </w:p>
        </w:tc>
      </w:tr>
      <w:tr>
        <w:tc>
          <w:tcPr>
            <w:tcW w:type="dxa" w:w="2160"/>
          </w:tcPr>
          <w:p>
            <w:r>
              <w:t>23</w:t>
            </w:r>
          </w:p>
        </w:tc>
        <w:tc>
          <w:tcPr>
            <w:tcW w:type="dxa" w:w="2160"/>
          </w:tcPr>
          <w:p>
            <w:r>
              <w:t>NEE</w:t>
            </w:r>
          </w:p>
        </w:tc>
        <w:tc>
          <w:tcPr>
            <w:tcW w:type="dxa" w:w="2160"/>
          </w:tcPr>
          <w:p>
            <w:r>
              <w:t>Utilities – Renewables</w:t>
            </w:r>
          </w:p>
        </w:tc>
        <w:tc>
          <w:tcPr>
            <w:tcW w:type="dxa" w:w="2160"/>
          </w:tcPr>
          <w:p>
            <w:r>
              <w:t>2.0%</w:t>
            </w:r>
          </w:p>
        </w:tc>
      </w:tr>
      <w:tr>
        <w:tc>
          <w:tcPr>
            <w:tcW w:type="dxa" w:w="2160"/>
          </w:tcPr>
          <w:p>
            <w:r>
              <w:t>24</w:t>
            </w:r>
          </w:p>
        </w:tc>
        <w:tc>
          <w:tcPr>
            <w:tcW w:type="dxa" w:w="2160"/>
          </w:tcPr>
          <w:p>
            <w:r>
              <w:t>ABBV</w:t>
            </w:r>
          </w:p>
        </w:tc>
        <w:tc>
          <w:tcPr>
            <w:tcW w:type="dxa" w:w="2160"/>
          </w:tcPr>
          <w:p>
            <w:r>
              <w:t>Healthcare – Biotech / Pharma</w:t>
            </w:r>
          </w:p>
        </w:tc>
        <w:tc>
          <w:tcPr>
            <w:tcW w:type="dxa" w:w="2160"/>
          </w:tcPr>
          <w:p>
            <w:r>
              <w:t>1.5%</w:t>
            </w:r>
          </w:p>
        </w:tc>
      </w:tr>
      <w:tr>
        <w:tc>
          <w:tcPr>
            <w:tcW w:type="dxa" w:w="2160"/>
          </w:tcPr>
          <w:p>
            <w:r>
              <w:t>25</w:t>
            </w:r>
          </w:p>
        </w:tc>
        <w:tc>
          <w:tcPr>
            <w:tcW w:type="dxa" w:w="2160"/>
          </w:tcPr>
          <w:p>
            <w:r>
              <w:t>NFLX</w:t>
            </w:r>
          </w:p>
        </w:tc>
        <w:tc>
          <w:tcPr>
            <w:tcW w:type="dxa" w:w="2160"/>
          </w:tcPr>
          <w:p>
            <w:r>
              <w:t>Communication Services</w:t>
            </w:r>
          </w:p>
        </w:tc>
        <w:tc>
          <w:tcPr>
            <w:tcW w:type="dxa" w:w="2160"/>
          </w:tcPr>
          <w:p>
            <w:r>
              <w:t>1.5%</w:t>
            </w:r>
          </w:p>
        </w:tc>
      </w:tr>
      <w:tr>
        <w:tc>
          <w:tcPr>
            <w:tcW w:type="dxa" w:w="2160"/>
            <w:shd w:fill="E8F0FE"/>
          </w:tcPr>
          <w:p>
            <w:r>
              <w:t>—</w:t>
            </w:r>
          </w:p>
        </w:tc>
        <w:tc>
          <w:tcPr>
            <w:tcW w:type="dxa" w:w="2160"/>
            <w:shd w:fill="E8F0FE"/>
          </w:tcPr>
          <w:p>
            <w:r>
              <w:t>CASH</w:t>
            </w:r>
          </w:p>
        </w:tc>
        <w:tc>
          <w:tcPr>
            <w:tcW w:type="dxa" w:w="2160"/>
            <w:shd w:fill="E8F0FE"/>
          </w:tcPr>
          <w:p>
            <w:r>
              <w:t>Cash &amp; Equivalents</w:t>
            </w:r>
          </w:p>
        </w:tc>
        <w:tc>
          <w:tcPr>
            <w:tcW w:type="dxa" w:w="2160"/>
            <w:shd w:fill="E8F0FE"/>
          </w:tcPr>
          <w:p>
            <w:r>
              <w:t>20.0%</w:t>
            </w:r>
          </w:p>
        </w:tc>
      </w:tr>
      <w:tr>
        <w:tc>
          <w:tcPr>
            <w:tcW w:type="dxa" w:w="2160"/>
            <w:shd w:fill="D9E7FF"/>
          </w:tcPr>
          <w:p>
            <w:r>
              <w:rPr>
                <w:b/>
              </w:rPr>
            </w:r>
          </w:p>
        </w:tc>
        <w:tc>
          <w:tcPr>
            <w:tcW w:type="dxa" w:w="2160"/>
            <w:shd w:fill="D9E7FF"/>
          </w:tcPr>
          <w:p>
            <w:r>
              <w:rPr>
                <w:b/>
              </w:rPr>
              <w:t>TOTAL</w:t>
            </w:r>
          </w:p>
        </w:tc>
        <w:tc>
          <w:tcPr>
            <w:tcW w:type="dxa" w:w="2160"/>
            <w:shd w:fill="D9E7FF"/>
          </w:tcPr>
          <w:p>
            <w:r>
              <w:rPr>
                <w:b/>
              </w:rPr>
            </w:r>
          </w:p>
        </w:tc>
        <w:tc>
          <w:tcPr>
            <w:tcW w:type="dxa" w:w="2160"/>
            <w:shd w:fill="D9E7FF"/>
          </w:tcPr>
          <w:p>
            <w:r>
              <w:rPr>
                <w:b/>
              </w:rPr>
              <w:t>100.0%</w:t>
            </w:r>
          </w:p>
        </w:tc>
      </w:tr>
    </w:tbl>
    <w:p/>
    <w:p>
      <w:r>
        <w:rPr>
          <w:b/>
        </w:rPr>
        <w:t>Verified: positions = 80.0% + cash = 20.0% = 100.0% ✓</w:t>
      </w:r>
    </w:p>
    <w:p>
      <w:pPr>
        <w:pStyle w:val="Heading1"/>
      </w:pPr>
      <w:r>
        <w:rPr>
          <w:color w:val="1F3A5F"/>
        </w:rPr>
        <w:t>8. Sources</w:t>
      </w:r>
    </w:p>
    <w:p>
      <w:pPr>
        <w:pStyle w:val="ListBullet"/>
      </w:pPr>
      <w:r>
        <w:rPr>
          <w:b/>
        </w:rPr>
        <w:t xml:space="preserve">S&amp;P 500 / Market Snapshot (Apr 20) — </w:t>
      </w:r>
      <w:r>
        <w:rPr>
          <w:color w:val="1F3A5F"/>
          <w:sz w:val="18"/>
        </w:rPr>
        <w:t>https://finance.yahoo.com/markets/stocks/live/stock-market-today-p-500-230354361.html</w:t>
      </w:r>
    </w:p>
    <w:p>
      <w:pPr>
        <w:pStyle w:val="ListBullet"/>
      </w:pPr>
      <w:r>
        <w:rPr>
          <w:b/>
        </w:rPr>
        <w:t xml:space="preserve">CNBC — S&amp;P 500 record, Nasdaq win streak (Apr 15) — </w:t>
      </w:r>
      <w:r>
        <w:rPr>
          <w:color w:val="1F3A5F"/>
          <w:sz w:val="18"/>
        </w:rPr>
        <w:t>https://www.cnbc.com/2026/04/15/stock-market-today-live-updates.html</w:t>
      </w:r>
    </w:p>
    <w:p>
      <w:pPr>
        <w:pStyle w:val="ListBullet"/>
      </w:pPr>
      <w:r>
        <w:rPr>
          <w:b/>
        </w:rPr>
        <w:t xml:space="preserve">CNBC — Stocks at records despite Iran war (Apr 16) — </w:t>
      </w:r>
      <w:r>
        <w:rPr>
          <w:color w:val="1F3A5F"/>
          <w:sz w:val="18"/>
        </w:rPr>
        <w:t>https://www.cnbc.com/2026/04/16/stocks-record-highs-iran-war.html</w:t>
      </w:r>
    </w:p>
    <w:p>
      <w:pPr>
        <w:pStyle w:val="ListBullet"/>
      </w:pPr>
      <w:r>
        <w:rPr>
          <w:b/>
        </w:rPr>
        <w:t xml:space="preserve">Federal Reserve FOMC statement (Mar 18, 2026) — </w:t>
      </w:r>
      <w:r>
        <w:rPr>
          <w:color w:val="1F3A5F"/>
          <w:sz w:val="18"/>
        </w:rPr>
        <w:t>https://www.federalreserve.gov/newsevents/pressreleases/monetary20260318a.htm</w:t>
      </w:r>
    </w:p>
    <w:p>
      <w:pPr>
        <w:pStyle w:val="ListBullet"/>
      </w:pPr>
      <w:r>
        <w:rPr>
          <w:b/>
        </w:rPr>
        <w:t xml:space="preserve">Yahoo — Fed holds steady, 1 cut projected 2026 — </w:t>
      </w:r>
      <w:r>
        <w:rPr>
          <w:color w:val="1F3A5F"/>
          <w:sz w:val="18"/>
        </w:rPr>
        <w:t>https://finance.yahoo.com/news/live/fed-meeting-live-updates-federal-reserve-holds-rates-steady-forecasts-1-rate-cut-in-2026-180216872.html</w:t>
      </w:r>
    </w:p>
    <w:p>
      <w:pPr>
        <w:pStyle w:val="ListBullet"/>
      </w:pPr>
      <w:r>
        <w:rPr>
          <w:b/>
        </w:rPr>
        <w:t xml:space="preserve">FRED — 10Y Treasury Yield (DGS10) — </w:t>
      </w:r>
      <w:r>
        <w:rPr>
          <w:color w:val="1F3A5F"/>
          <w:sz w:val="18"/>
        </w:rPr>
        <w:t>https://fred.stlouisfed.org/series/DGS10</w:t>
      </w:r>
    </w:p>
    <w:p>
      <w:pPr>
        <w:pStyle w:val="ListBullet"/>
      </w:pPr>
      <w:r>
        <w:rPr>
          <w:b/>
        </w:rPr>
        <w:t xml:space="preserve">WTI Crude Price Analysis Apr 20 — </w:t>
      </w:r>
      <w:r>
        <w:rPr>
          <w:color w:val="1F3A5F"/>
          <w:sz w:val="18"/>
        </w:rPr>
        <w:t>https://fxdailyreport.com/wti-crude-oil-price-analysis-for-april-20-2026/</w:t>
      </w:r>
    </w:p>
    <w:p>
      <w:pPr>
        <w:pStyle w:val="ListBullet"/>
      </w:pPr>
      <w:r>
        <w:rPr>
          <w:b/>
        </w:rPr>
        <w:t xml:space="preserve">Bloomberg — JPM Q1 record trader haul — </w:t>
      </w:r>
      <w:r>
        <w:rPr>
          <w:color w:val="1F3A5F"/>
          <w:sz w:val="18"/>
        </w:rPr>
        <w:t>https://www.bloomberg.com/news/articles/2026-04-14/jpmorgan-traders-blow-past-expectations-with-biggest-ever-haul</w:t>
      </w:r>
    </w:p>
    <w:p>
      <w:pPr>
        <w:pStyle w:val="ListBullet"/>
      </w:pPr>
      <w:r>
        <w:rPr>
          <w:b/>
        </w:rPr>
        <w:t xml:space="preserve">CNBC — JPM Q1 2026 earnings — </w:t>
      </w:r>
      <w:r>
        <w:rPr>
          <w:color w:val="1F3A5F"/>
          <w:sz w:val="18"/>
        </w:rPr>
        <w:t>https://www.cnbc.com/2026/04/14/jpmorgan-chase-jpm-earnings-1q-2026.html</w:t>
      </w:r>
    </w:p>
    <w:p>
      <w:pPr>
        <w:pStyle w:val="ListBullet"/>
      </w:pPr>
      <w:r>
        <w:rPr>
          <w:b/>
        </w:rPr>
        <w:t xml:space="preserve">TheStreet — JPMorgan cuts S&amp;P 2026 PT to 7,200 — </w:t>
      </w:r>
      <w:r>
        <w:rPr>
          <w:color w:val="1F3A5F"/>
          <w:sz w:val="18"/>
        </w:rPr>
        <w:t>https://www.thestreet.com/investing/jpmorgan-resets-sp-500-price-target-for-rest-of-2026</w:t>
      </w:r>
    </w:p>
    <w:p>
      <w:pPr>
        <w:pStyle w:val="ListBullet"/>
      </w:pPr>
      <w:r>
        <w:rPr>
          <w:b/>
        </w:rPr>
        <w:t xml:space="preserve">Zacks — UNH Q1 Earnings Preview — </w:t>
      </w:r>
      <w:r>
        <w:rPr>
          <w:color w:val="1F3A5F"/>
          <w:sz w:val="18"/>
        </w:rPr>
        <w:t>https://finance.yahoo.com/sectors/healthcare/articles/unitedhealth-q1-earnings-preview-dodge-172500122.html</w:t>
      </w:r>
    </w:p>
    <w:p>
      <w:pPr>
        <w:pStyle w:val="ListBullet"/>
      </w:pPr>
      <w:r>
        <w:rPr>
          <w:b/>
        </w:rPr>
        <w:t xml:space="preserve">UnitedHealth Newsroom — Q1 release date — </w:t>
      </w:r>
      <w:r>
        <w:rPr>
          <w:color w:val="1F3A5F"/>
          <w:sz w:val="18"/>
        </w:rPr>
        <w:t>https://www.unitedhealthgroup.com/newsroom/2026/2026-03-17-uhg-announces-q1-earnings-release-date.html</w:t>
      </w:r>
    </w:p>
    <w:p>
      <w:pPr>
        <w:pStyle w:val="ListBullet"/>
      </w:pPr>
      <w:r>
        <w:rPr>
          <w:b/>
        </w:rPr>
        <w:t xml:space="preserve">TradingKey — Intel earnings preview Apr 23 — </w:t>
      </w:r>
      <w:r>
        <w:rPr>
          <w:color w:val="1F3A5F"/>
          <w:sz w:val="18"/>
        </w:rPr>
        <w:t>https://www.tradingkey.com/analysis/stocks/us-stocks/261799873-intel-earnings-ai-xeon-foundry-valuation-rsi-hyperscaler-technical-tradingkey</w:t>
      </w:r>
    </w:p>
    <w:p>
      <w:pPr>
        <w:pStyle w:val="ListBullet"/>
      </w:pPr>
      <w:r>
        <w:rPr>
          <w:b/>
        </w:rPr>
        <w:t xml:space="preserve">StockTitan — Intel Q1 2026 release Apr 23 — </w:t>
      </w:r>
      <w:r>
        <w:rPr>
          <w:color w:val="1F3A5F"/>
          <w:sz w:val="18"/>
        </w:rPr>
        <w:t>https://www.stocktitan.net/news/INTC/intel-to-report-first-quarter-2026-financial-je8f4fdy0uqe.html</w:t>
      </w:r>
    </w:p>
    <w:p>
      <w:pPr>
        <w:pStyle w:val="ListBullet"/>
      </w:pPr>
      <w:r>
        <w:rPr>
          <w:b/>
        </w:rPr>
        <w:t xml:space="preserve">Yahoo — Eli Lilly stock / Foundayo FDA Apr 1 — </w:t>
      </w:r>
      <w:r>
        <w:rPr>
          <w:color w:val="1F3A5F"/>
          <w:sz w:val="18"/>
        </w:rPr>
        <w:t>https://finance.yahoo.com/quote/LLY/</w:t>
      </w:r>
    </w:p>
    <w:p>
      <w:pPr>
        <w:pStyle w:val="ListBullet"/>
      </w:pPr>
      <w:r>
        <w:rPr>
          <w:b/>
        </w:rPr>
        <w:t xml:space="preserve">StockTitan — LLY Foundayo news — </w:t>
      </w:r>
      <w:r>
        <w:rPr>
          <w:color w:val="1F3A5F"/>
          <w:sz w:val="18"/>
        </w:rPr>
        <w:t>https://www.stocktitan.net/news/LLY/</w:t>
      </w:r>
    </w:p>
    <w:p>
      <w:pPr>
        <w:pStyle w:val="ListBullet"/>
      </w:pPr>
      <w:r>
        <w:rPr>
          <w:b/>
        </w:rPr>
        <w:t xml:space="preserve">Motley Fool — Oracle surges Apr 14 — </w:t>
      </w:r>
      <w:r>
        <w:rPr>
          <w:color w:val="1F3A5F"/>
          <w:sz w:val="18"/>
        </w:rPr>
        <w:t>https://www.fool.com/investing/2026/04/14/why-oracle-stock-surged-today/</w:t>
      </w:r>
    </w:p>
    <w:p>
      <w:pPr>
        <w:pStyle w:val="ListBullet"/>
      </w:pPr>
      <w:r>
        <w:rPr>
          <w:b/>
        </w:rPr>
        <w:t xml:space="preserve">Rollingout — ORCL AWS deal — </w:t>
      </w:r>
      <w:r>
        <w:rPr>
          <w:color w:val="1F3A5F"/>
          <w:sz w:val="18"/>
        </w:rPr>
        <w:t>https://rollingout.com/2026/04/16/oracle-stock-jumps-3-reasons-investors/</w:t>
      </w:r>
    </w:p>
    <w:p>
      <w:pPr>
        <w:pStyle w:val="ListBullet"/>
      </w:pPr>
      <w:r>
        <w:rPr>
          <w:b/>
        </w:rPr>
        <w:t xml:space="preserve">CNBC — TSMC &amp; ASML post-earnings — </w:t>
      </w:r>
      <w:r>
        <w:rPr>
          <w:color w:val="1F3A5F"/>
          <w:sz w:val="18"/>
        </w:rPr>
        <w:t>https://www.cnbc.com/2026/04/16/taiwan-semi-tsm-asml-stock-earnings-ai-chips.html</w:t>
      </w:r>
    </w:p>
    <w:p>
      <w:pPr>
        <w:pStyle w:val="ListBullet"/>
      </w:pPr>
      <w:r>
        <w:rPr>
          <w:b/>
        </w:rPr>
        <w:t xml:space="preserve">Barchart — TSM profit +58% Q1 — </w:t>
      </w:r>
      <w:r>
        <w:rPr>
          <w:color w:val="1F3A5F"/>
          <w:sz w:val="18"/>
        </w:rPr>
        <w:t>https://markets.financialcontent.com/stocks/article/barchart-2026-4-19-profit-jumped-58-at-taiwan-semi-does-that-make-tsm-stock-a-buy-here</w:t>
      </w:r>
    </w:p>
    <w:p>
      <w:pPr>
        <w:pStyle w:val="ListBullet"/>
      </w:pPr>
      <w:r>
        <w:rPr>
          <w:b/>
        </w:rPr>
        <w:t xml:space="preserve">Yahoo — NVDA pre-market Apr 20 — </w:t>
      </w:r>
      <w:r>
        <w:rPr>
          <w:color w:val="1F3A5F"/>
          <w:sz w:val="18"/>
        </w:rPr>
        <w:t>https://finance.yahoo.com/quote/NVDA/</w:t>
      </w:r>
    </w:p>
    <w:p>
      <w:pPr>
        <w:pStyle w:val="ListBullet"/>
      </w:pPr>
      <w:r>
        <w:rPr>
          <w:b/>
        </w:rPr>
        <w:t xml:space="preserve">GuruFocus — Keybanc AMZN PT $325 — </w:t>
      </w:r>
      <w:r>
        <w:rPr>
          <w:color w:val="1F3A5F"/>
          <w:sz w:val="18"/>
        </w:rPr>
        <w:t>https://www.gurufocus.com/news/8803135/amzn-maintained-by-keybanc-price-target-raised-to-325</w:t>
      </w:r>
    </w:p>
    <w:p>
      <w:pPr>
        <w:pStyle w:val="ListBullet"/>
      </w:pPr>
      <w:r>
        <w:rPr>
          <w:b/>
        </w:rPr>
        <w:t xml:space="preserve">Motley Fool — MSFT up 22% recovery — </w:t>
      </w:r>
      <w:r>
        <w:rPr>
          <w:color w:val="1F3A5F"/>
          <w:sz w:val="18"/>
        </w:rPr>
        <w:t>https://www.fool.com/investing/2026/04/20/microsoft-stock-is-down-22-but-why-soar-april-29/</w:t>
      </w:r>
    </w:p>
    <w:p>
      <w:pPr>
        <w:pStyle w:val="ListBullet"/>
      </w:pPr>
      <w:r>
        <w:rPr>
          <w:b/>
        </w:rPr>
        <w:t xml:space="preserve">StockTitan — MSFT Q3 earnings Apr 29 — </w:t>
      </w:r>
      <w:r>
        <w:rPr>
          <w:color w:val="1F3A5F"/>
          <w:sz w:val="18"/>
        </w:rPr>
        <w:t>https://www.stocktitan.net/news/MSFT/microsoft-announces-quarterly-earnings-release-n3fh8vucxttd.html</w:t>
      </w:r>
    </w:p>
    <w:p>
      <w:pPr>
        <w:pStyle w:val="ListBullet"/>
      </w:pPr>
      <w:r>
        <w:rPr>
          <w:b/>
        </w:rPr>
        <w:t xml:space="preserve">247WallSt — Google Search $615M/day — </w:t>
      </w:r>
      <w:r>
        <w:rPr>
          <w:color w:val="1F3A5F"/>
          <w:sz w:val="18"/>
        </w:rPr>
        <w:t>https://247wallst.com/investing/2026/04/12/google-search-generates-615-million-every-single-day-is-alphabet-the-must-buy-stock/</w:t>
      </w:r>
    </w:p>
    <w:p>
      <w:pPr>
        <w:pStyle w:val="ListBullet"/>
      </w:pPr>
      <w:r>
        <w:rPr>
          <w:b/>
        </w:rPr>
        <w:t xml:space="preserve">Foreign Policy Journal — PLTR ~$146 Apr 20 — </w:t>
      </w:r>
      <w:r>
        <w:rPr>
          <w:color w:val="1F3A5F"/>
          <w:sz w:val="18"/>
        </w:rPr>
        <w:t>https://www.foreignpolicyjournal.com/2026/04/20/palantir-pltr-stock-price-climbs-back-toward-146-as-faa-work-and-iran-war-contracts-reinforce-government-moat/</w:t>
      </w:r>
    </w:p>
    <w:p>
      <w:pPr>
        <w:pStyle w:val="ListBullet"/>
      </w:pPr>
      <w:r>
        <w:rPr>
          <w:b/>
        </w:rPr>
        <w:t xml:space="preserve">Capital.com — PLTR Apr 20 forecast — </w:t>
      </w:r>
      <w:r>
        <w:rPr>
          <w:color w:val="1F3A5F"/>
          <w:sz w:val="18"/>
        </w:rPr>
        <w:t>https://capital.com/en-int/market-updates/palantir-technologies-stock-forecast-20-04-2026</w:t>
      </w:r>
    </w:p>
    <w:p>
      <w:pPr>
        <w:pStyle w:val="ListBullet"/>
      </w:pPr>
      <w:r>
        <w:rPr>
          <w:b/>
        </w:rPr>
        <w:t xml:space="preserve">TradingKey — Meta AI launch / OpenAI IPO — </w:t>
      </w:r>
      <w:r>
        <w:rPr>
          <w:color w:val="1F3A5F"/>
          <w:sz w:val="18"/>
        </w:rPr>
        <w:t>https://www.tradingkey.com/analysis/stocks/us-stocks/261756471-meta-consumer-facing-ai-model-openai-ipo-buy-meta-stock-tradingkey</w:t>
      </w:r>
    </w:p>
    <w:p>
      <w:pPr>
        <w:pStyle w:val="ListBullet"/>
      </w:pPr>
      <w:r>
        <w:rPr>
          <w:b/>
        </w:rPr>
        <w:t xml:space="preserve">Bloomberg — Netflix Q1 &amp; Hastings exit — </w:t>
      </w:r>
      <w:r>
        <w:rPr>
          <w:color w:val="1F3A5F"/>
          <w:sz w:val="18"/>
        </w:rPr>
        <w:t>https://www.bloomberg.com/news/articles/2026-04-16/netflix-revenue-beats-estimates-as-hastings-steps-down</w:t>
      </w:r>
    </w:p>
    <w:p>
      <w:pPr>
        <w:pStyle w:val="ListBullet"/>
      </w:pPr>
      <w:r>
        <w:rPr>
          <w:b/>
        </w:rPr>
        <w:t xml:space="preserve">CNBC — Netflix Q1 2026 earnings — </w:t>
      </w:r>
      <w:r>
        <w:rPr>
          <w:color w:val="1F3A5F"/>
          <w:sz w:val="18"/>
        </w:rPr>
        <w:t>https://www.cnbc.com/2026/04/16/netflix-nflx-earnings-q1-2026.html</w:t>
      </w:r>
    </w:p>
    <w:p>
      <w:pPr>
        <w:pStyle w:val="ListBullet"/>
      </w:pPr>
      <w:r>
        <w:rPr>
          <w:b/>
        </w:rPr>
        <w:t xml:space="preserve">GuruFocus — CRWD undervalued (+6.1%) — </w:t>
      </w:r>
      <w:r>
        <w:rPr>
          <w:color w:val="1F3A5F"/>
          <w:sz w:val="18"/>
        </w:rPr>
        <w:t>https://www.gurufocus.com/news/8790567/crowdstrike-holdings-inc-crwd-stock-up-61-and-still-undervalued-gf-score-84100</w:t>
      </w:r>
    </w:p>
    <w:p>
      <w:pPr>
        <w:pStyle w:val="ListBullet"/>
      </w:pPr>
      <w:r>
        <w:rPr>
          <w:b/>
        </w:rPr>
        <w:t xml:space="preserve">Motley Fool — MU down Apr 15 — </w:t>
      </w:r>
      <w:r>
        <w:rPr>
          <w:color w:val="1F3A5F"/>
          <w:sz w:val="18"/>
        </w:rPr>
        <w:t>https://www.fool.com/investing/2026/04/15/why-micron-stock-is-falling-today/</w:t>
      </w:r>
    </w:p>
    <w:p>
      <w:pPr>
        <w:pStyle w:val="ListBullet"/>
      </w:pPr>
      <w:r>
        <w:rPr>
          <w:b/>
        </w:rPr>
        <w:t xml:space="preserve">247WallSt — XOM price prediction 2026 — </w:t>
      </w:r>
      <w:r>
        <w:rPr>
          <w:color w:val="1F3A5F"/>
          <w:sz w:val="18"/>
        </w:rPr>
        <w:t>https://247wallst.com/investing/2026/04/16/exxonmobil-price-prediction-how-high-will-the-oil-stock-go-in-2026/</w:t>
      </w:r>
    </w:p>
    <w:p>
      <w:pPr>
        <w:pStyle w:val="ListBullet"/>
      </w:pPr>
      <w:r>
        <w:rPr>
          <w:b/>
        </w:rPr>
        <w:t xml:space="preserve">NextEra Newsroom — Q1 release Apr 23 — </w:t>
      </w:r>
      <w:r>
        <w:rPr>
          <w:color w:val="1F3A5F"/>
          <w:sz w:val="18"/>
        </w:rPr>
        <w:t>https://newsroom.nexteraenergy.com/2026-04-09-NextEra-Energy-announces-date-for-release-of-first-quarter-2026-financial-results</w:t>
      </w:r>
    </w:p>
    <w:p>
      <w:pPr>
        <w:pStyle w:val="ListBullet"/>
      </w:pPr>
      <w:r>
        <w:rPr>
          <w:b/>
        </w:rPr>
        <w:t xml:space="preserve">QuiverQuant — DASH +8.2% Apr 15 — </w:t>
      </w:r>
      <w:r>
        <w:rPr>
          <w:color w:val="1F3A5F"/>
          <w:sz w:val="18"/>
        </w:rPr>
        <w:t>https://www.quiverquant.com/news/DoorDash+shares+jump+8.2%25+as+investors+focus+on+autonomous-delivery+expansion+and+fresh+analyst+optimism</w:t>
      </w:r>
    </w:p>
    <w:p>
      <w:pPr>
        <w:pStyle w:val="ListBullet"/>
      </w:pPr>
      <w:r>
        <w:rPr>
          <w:b/>
        </w:rPr>
        <w:t xml:space="preserve">IndexBox — ABBV Stock Review 2026 — </w:t>
      </w:r>
      <w:r>
        <w:rPr>
          <w:color w:val="1F3A5F"/>
          <w:sz w:val="18"/>
        </w:rPr>
        <w:t>https://www.indexbox.io/blog/abbvie-stock-analysis-performance-outlook-and-investment-profile-in-2026/</w:t>
      </w:r>
    </w:p>
    <w:p>
      <w:pPr>
        <w:pStyle w:val="ListBullet"/>
      </w:pPr>
      <w:r>
        <w:rPr>
          <w:b/>
        </w:rPr>
        <w:t xml:space="preserve">Stocktwits — SPOT Goldman upgrade — </w:t>
      </w:r>
      <w:r>
        <w:rPr>
          <w:color w:val="1F3A5F"/>
          <w:sz w:val="18"/>
        </w:rPr>
        <w:t>https://stocktwits.com/news-articles/markets/equity/spotify-stock-eyes-rebound-after-ai-prompted-playlist-launch-goldman-upgrades-to-buy/cmyboMJR4Xp</w:t>
      </w:r>
    </w:p>
    <w:p>
      <w:pPr>
        <w:pStyle w:val="ListBullet"/>
      </w:pPr>
      <w:r>
        <w:rPr>
          <w:b/>
        </w:rPr>
        <w:t xml:space="preserve">Yahoo — ETF flows QQQ top — </w:t>
      </w:r>
      <w:r>
        <w:rPr>
          <w:color w:val="1F3A5F"/>
          <w:sz w:val="18"/>
        </w:rPr>
        <w:t>https://finance.yahoo.com/markets/options/articles/daily-etf-flows-qqq-smh-210007200.html</w:t>
      </w:r>
    </w:p>
    <w:p/>
    <w:p>
      <w:r>
        <w:rPr>
          <w:i/>
          <w:color w:val="808080"/>
          <w:sz w:val="18"/>
        </w:rPr>
        <w:t>This is a research preview report generated by an automated scheduled task for informational purposes only. Not personalized investment advice. All prices and levels are approximate based on publicly available web sources as of report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