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DAILY PRE-MARKET PORTFOLIO REPORT</w:t>
      </w:r>
    </w:p>
    <w:p>
      <w:pPr>
        <w:jc w:val="center"/>
      </w:pPr>
      <w:r>
        <w:rPr>
          <w:i/>
          <w:sz w:val="22"/>
        </w:rPr>
        <w:t>Long-Term Growth Portfolio  |  Active Wealth Management</w:t>
      </w:r>
    </w:p>
    <w:p>
      <w:pPr>
        <w:jc w:val="center"/>
      </w:pPr>
      <w:r>
        <w:rPr>
          <w:color w:val="555555"/>
          <w:sz w:val="20"/>
        </w:rPr>
        <w:t>Report Date: Thursday, April 23, 2026  |  Benchmark: S&amp;P 500  |  Horizon: Long-Term Growth</w:t>
      </w:r>
    </w:p>
    <w:p/>
    <w:p>
      <w:pPr>
        <w:pStyle w:val="Heading1"/>
      </w:pPr>
      <w:r>
        <w:t>1. Market Snapshot — Pre-Market</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val="clear" w:color="auto" w:fill="1F4E79"/>
          </w:tcPr>
          <w:p>
            <w:r>
              <w:rPr>
                <w:b/>
                <w:color w:val="FFFFFF"/>
              </w:rPr>
              <w:t>Indicator</w:t>
            </w:r>
          </w:p>
        </w:tc>
        <w:tc>
          <w:tcPr>
            <w:tcW w:type="dxa" w:w="2484"/>
            <w:shd w:val="clear" w:color="auto" w:fill="1F4E79"/>
          </w:tcPr>
          <w:p>
            <w:r>
              <w:rPr>
                <w:b/>
                <w:color w:val="FFFFFF"/>
              </w:rPr>
              <w:t>Level</w:t>
            </w:r>
          </w:p>
        </w:tc>
        <w:tc>
          <w:tcPr>
            <w:tcW w:type="dxa" w:w="2484"/>
            <w:shd w:val="clear" w:color="auto" w:fill="1F4E79"/>
          </w:tcPr>
          <w:p>
            <w:r>
              <w:rPr>
                <w:b/>
                <w:color w:val="FFFFFF"/>
              </w:rPr>
              <w:t>Δ vs Prior</w:t>
            </w:r>
          </w:p>
        </w:tc>
        <w:tc>
          <w:tcPr>
            <w:tcW w:type="dxa" w:w="2484"/>
            <w:shd w:val="clear" w:color="auto" w:fill="1F4E79"/>
          </w:tcPr>
          <w:p>
            <w:r>
              <w:rPr>
                <w:b/>
                <w:color w:val="FFFFFF"/>
              </w:rPr>
              <w:t>Signal</w:t>
            </w:r>
          </w:p>
        </w:tc>
      </w:tr>
      <w:tr>
        <w:tc>
          <w:tcPr>
            <w:tcW w:type="dxa" w:w="2484"/>
          </w:tcPr>
          <w:p>
            <w:r>
              <w:t>S&amp;P 500</w:t>
            </w:r>
          </w:p>
        </w:tc>
        <w:tc>
          <w:tcPr>
            <w:tcW w:type="dxa" w:w="2484"/>
          </w:tcPr>
          <w:p>
            <w:r>
              <w:t>7,109</w:t>
            </w:r>
          </w:p>
        </w:tc>
        <w:tc>
          <w:tcPr>
            <w:tcW w:type="dxa" w:w="2484"/>
          </w:tcPr>
          <w:p>
            <w:r>
              <w:t>-0.41%</w:t>
            </w:r>
          </w:p>
        </w:tc>
        <w:tc>
          <w:tcPr>
            <w:tcW w:type="dxa" w:w="2484"/>
          </w:tcPr>
          <w:p>
            <w:r>
              <w:t>Mild pullback off record high</w:t>
            </w:r>
          </w:p>
        </w:tc>
      </w:tr>
      <w:tr>
        <w:tc>
          <w:tcPr>
            <w:tcW w:type="dxa" w:w="2484"/>
          </w:tcPr>
          <w:p>
            <w:r>
              <w:t>Nasdaq Composite</w:t>
            </w:r>
          </w:p>
        </w:tc>
        <w:tc>
          <w:tcPr>
            <w:tcW w:type="dxa" w:w="2484"/>
          </w:tcPr>
          <w:p>
            <w:r>
              <w:t>Near record</w:t>
            </w:r>
          </w:p>
        </w:tc>
        <w:tc>
          <w:tcPr>
            <w:tcW w:type="dxa" w:w="2484"/>
          </w:tcPr>
          <w:p>
            <w:r>
              <w:t>Flat/slight red</w:t>
            </w:r>
          </w:p>
        </w:tc>
        <w:tc>
          <w:tcPr>
            <w:tcW w:type="dxa" w:w="2484"/>
          </w:tcPr>
          <w:p>
            <w:r>
              <w:t>13-day streak broke Apr 17; consolidating</w:t>
            </w:r>
          </w:p>
        </w:tc>
      </w:tr>
      <w:tr>
        <w:tc>
          <w:tcPr>
            <w:tcW w:type="dxa" w:w="2484"/>
          </w:tcPr>
          <w:p>
            <w:r>
              <w:t>VIX</w:t>
            </w:r>
          </w:p>
        </w:tc>
        <w:tc>
          <w:tcPr>
            <w:tcW w:type="dxa" w:w="2484"/>
          </w:tcPr>
          <w:p>
            <w:r>
              <w:t>19.70</w:t>
            </w:r>
          </w:p>
        </w:tc>
        <w:tc>
          <w:tcPr>
            <w:tcW w:type="dxa" w:w="2484"/>
          </w:tcPr>
          <w:p>
            <w:r>
              <w:t>+4.1%</w:t>
            </w:r>
          </w:p>
        </w:tc>
        <w:tc>
          <w:tcPr>
            <w:tcW w:type="dxa" w:w="2484"/>
          </w:tcPr>
          <w:p>
            <w:r>
              <w:t>Below 20 — benign; no defensive trigger</w:t>
            </w:r>
          </w:p>
        </w:tc>
      </w:tr>
      <w:tr>
        <w:tc>
          <w:tcPr>
            <w:tcW w:type="dxa" w:w="2484"/>
          </w:tcPr>
          <w:p>
            <w:r>
              <w:t>10Y Treasury Yield</w:t>
            </w:r>
          </w:p>
        </w:tc>
        <w:tc>
          <w:tcPr>
            <w:tcW w:type="dxa" w:w="2484"/>
          </w:tcPr>
          <w:p>
            <w:r>
              <w:t>~4.1% (est.)</w:t>
            </w:r>
          </w:p>
        </w:tc>
        <w:tc>
          <w:tcPr>
            <w:tcW w:type="dxa" w:w="2484"/>
          </w:tcPr>
          <w:p>
            <w:r>
              <w:t>Modestly elevated</w:t>
            </w:r>
          </w:p>
        </w:tc>
        <w:tc>
          <w:tcPr>
            <w:tcW w:type="dxa" w:w="2484"/>
          </w:tcPr>
          <w:p>
            <w:r>
              <w:t>Fed hold 3.50–3.75%; 'wait-and-see'</w:t>
            </w:r>
          </w:p>
        </w:tc>
      </w:tr>
      <w:tr>
        <w:tc>
          <w:tcPr>
            <w:tcW w:type="dxa" w:w="2484"/>
          </w:tcPr>
          <w:p>
            <w:r>
              <w:t>WTI Crude</w:t>
            </w:r>
          </w:p>
        </w:tc>
        <w:tc>
          <w:tcPr>
            <w:tcW w:type="dxa" w:w="2484"/>
          </w:tcPr>
          <w:p>
            <w:r>
              <w:t>~$92.46</w:t>
            </w:r>
          </w:p>
        </w:tc>
        <w:tc>
          <w:tcPr>
            <w:tcW w:type="dxa" w:w="2484"/>
          </w:tcPr>
          <w:p>
            <w:r>
              <w:t>+3.4%</w:t>
            </w:r>
          </w:p>
        </w:tc>
        <w:tc>
          <w:tcPr>
            <w:tcW w:type="dxa" w:w="2484"/>
          </w:tcPr>
          <w:p>
            <w:r>
              <w:t>SPIKE on Iran ceasefire doubt</w:t>
            </w:r>
          </w:p>
        </w:tc>
      </w:tr>
      <w:tr>
        <w:tc>
          <w:tcPr>
            <w:tcW w:type="dxa" w:w="2484"/>
          </w:tcPr>
          <w:p>
            <w:r>
              <w:t>Brent Crude</w:t>
            </w:r>
          </w:p>
        </w:tc>
        <w:tc>
          <w:tcPr>
            <w:tcW w:type="dxa" w:w="2484"/>
          </w:tcPr>
          <w:p>
            <w:r>
              <w:t>~$101.14</w:t>
            </w:r>
          </w:p>
        </w:tc>
        <w:tc>
          <w:tcPr>
            <w:tcW w:type="dxa" w:w="2484"/>
          </w:tcPr>
          <w:p>
            <w:r>
              <w:t>+4.8%</w:t>
            </w:r>
          </w:p>
        </w:tc>
        <w:tc>
          <w:tcPr>
            <w:tcW w:type="dxa" w:w="2484"/>
          </w:tcPr>
          <w:p>
            <w:r>
              <w:t>Strait of Hormuz supply fears</w:t>
            </w:r>
          </w:p>
        </w:tc>
      </w:tr>
    </w:tbl>
    <w:p/>
    <w:p>
      <w:r>
        <w:rPr>
          <w:b/>
        </w:rPr>
        <w:t xml:space="preserve">Macro lens: </w:t>
      </w:r>
      <w:r>
        <w:t>Oil has fully reversed the April 9 collapse thesis. WTI has rallied from the mid-$70s to ~$92 on renewed Iran/Strait of Hormuz supply anxiety. Fed remains in hold mode (median 1 cut in 2026). Earnings season is constructive — ~75% of S&amp;P 500 reporters beating on EPS or revenue.</w:t>
      </w:r>
    </w:p>
    <w:p>
      <w:pPr>
        <w:pStyle w:val="Heading1"/>
      </w:pPr>
      <w:r>
        <w:t>2. Scan 1 — Holdings Review (Affected Names)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shd w:val="clear" w:color="auto" w:fill="1F4E79"/>
          </w:tcPr>
          <w:p>
            <w:r>
              <w:rPr>
                <w:b/>
                <w:color w:val="FFFFFF"/>
              </w:rPr>
              <w:t>Ticker</w:t>
            </w:r>
          </w:p>
        </w:tc>
        <w:tc>
          <w:tcPr>
            <w:tcW w:type="dxa" w:w="1987"/>
            <w:shd w:val="clear" w:color="auto" w:fill="1F4E79"/>
          </w:tcPr>
          <w:p>
            <w:r>
              <w:rPr>
                <w:b/>
                <w:color w:val="FFFFFF"/>
              </w:rPr>
              <w:t>Headline / Trigger</w:t>
            </w:r>
          </w:p>
        </w:tc>
        <w:tc>
          <w:tcPr>
            <w:tcW w:type="dxa" w:w="1987"/>
            <w:shd w:val="clear" w:color="auto" w:fill="1F4E79"/>
          </w:tcPr>
          <w:p>
            <w:r>
              <w:rPr>
                <w:b/>
                <w:color w:val="FFFFFF"/>
              </w:rPr>
              <w:t>Source</w:t>
            </w:r>
          </w:p>
        </w:tc>
        <w:tc>
          <w:tcPr>
            <w:tcW w:type="dxa" w:w="1987"/>
            <w:shd w:val="clear" w:color="auto" w:fill="1F4E79"/>
          </w:tcPr>
          <w:p>
            <w:r>
              <w:rPr>
                <w:b/>
                <w:color w:val="FFFFFF"/>
              </w:rPr>
              <w:t>Impact</w:t>
            </w:r>
          </w:p>
        </w:tc>
        <w:tc>
          <w:tcPr>
            <w:tcW w:type="dxa" w:w="1987"/>
            <w:shd w:val="clear" w:color="auto" w:fill="1F4E79"/>
          </w:tcPr>
          <w:p>
            <w:r>
              <w:rPr>
                <w:b/>
                <w:color w:val="FFFFFF"/>
              </w:rPr>
              <w:t>Action</w:t>
            </w:r>
          </w:p>
        </w:tc>
      </w:tr>
      <w:tr>
        <w:tc>
          <w:tcPr>
            <w:tcW w:type="dxa" w:w="1987"/>
          </w:tcPr>
          <w:p>
            <w:r>
              <w:t>XOM</w:t>
            </w:r>
          </w:p>
        </w:tc>
        <w:tc>
          <w:tcPr>
            <w:tcW w:type="dxa" w:w="1987"/>
          </w:tcPr>
          <w:p>
            <w:r>
              <w:t>WTI surges to ~$92 (+3.4%); Brent ~$101 on Iran ceasefire doubt &amp; Strait of Hormuz tension</w:t>
            </w:r>
          </w:p>
        </w:tc>
        <w:tc>
          <w:tcPr>
            <w:tcW w:type="dxa" w:w="1987"/>
          </w:tcPr>
          <w:p>
            <w:r>
              <w:t>CNBC, Apr 22–23, 2026</w:t>
            </w:r>
          </w:p>
        </w:tc>
        <w:tc>
          <w:tcPr>
            <w:tcW w:type="dxa" w:w="1987"/>
            <w:shd w:val="clear" w:color="auto" w:fill="D4EDDA"/>
          </w:tcPr>
          <w:p>
            <w:r>
              <w:t>POSITIVE</w:t>
            </w:r>
          </w:p>
        </w:tc>
        <w:tc>
          <w:tcPr>
            <w:tcW w:type="dxa" w:w="1987"/>
          </w:tcPr>
          <w:p>
            <w:r>
              <w:t>HOLD 2.5% — oil-spike thesis supports current weight. Candidate to add +0.5% if WTI holds &gt;$90 for 3 sessions.</w:t>
            </w:r>
          </w:p>
        </w:tc>
      </w:tr>
      <w:tr>
        <w:tc>
          <w:tcPr>
            <w:tcW w:type="dxa" w:w="1987"/>
          </w:tcPr>
          <w:p>
            <w:r>
              <w:t>EOG</w:t>
            </w:r>
          </w:p>
        </w:tc>
        <w:tc>
          <w:tcPr>
            <w:tcW w:type="dxa" w:w="1987"/>
          </w:tcPr>
          <w:p>
            <w:r>
              <w:t>Oil spike supports Permian economics; best-in-class FCF</w:t>
            </w:r>
          </w:p>
        </w:tc>
        <w:tc>
          <w:tcPr>
            <w:tcW w:type="dxa" w:w="1987"/>
          </w:tcPr>
          <w:p>
            <w:r>
              <w:t>CNBC, Apr 22–23, 2026</w:t>
            </w:r>
          </w:p>
        </w:tc>
        <w:tc>
          <w:tcPr>
            <w:tcW w:type="dxa" w:w="1987"/>
            <w:shd w:val="clear" w:color="auto" w:fill="D4EDDA"/>
          </w:tcPr>
          <w:p>
            <w:r>
              <w:t>POSITIVE</w:t>
            </w:r>
          </w:p>
        </w:tc>
        <w:tc>
          <w:tcPr>
            <w:tcW w:type="dxa" w:w="1987"/>
          </w:tcPr>
          <w:p>
            <w:r>
              <w:t>HOLD 2.0% — monitor WTI; no action pre-market.</w:t>
            </w:r>
          </w:p>
        </w:tc>
      </w:tr>
      <w:tr>
        <w:tc>
          <w:tcPr>
            <w:tcW w:type="dxa" w:w="1987"/>
          </w:tcPr>
          <w:p>
            <w:r>
              <w:t>INTC*</w:t>
            </w:r>
          </w:p>
        </w:tc>
        <w:tc>
          <w:tcPr>
            <w:tcW w:type="dxa" w:w="1987"/>
          </w:tcPr>
          <w:p>
            <w:r>
              <w:t>Q1 2026 earnings after-close today; consensus EPS $0.02 / rev $12.42B; options imply ±9.9% move; watch 18A external customer naming &amp; foundry loss trajectory</w:t>
            </w:r>
          </w:p>
        </w:tc>
        <w:tc>
          <w:tcPr>
            <w:tcW w:type="dxa" w:w="1987"/>
          </w:tcPr>
          <w:p>
            <w:r>
              <w:t>TipRanks / TradingKey / Benzinga</w:t>
            </w:r>
          </w:p>
        </w:tc>
        <w:tc>
          <w:tcPr>
            <w:tcW w:type="dxa" w:w="1987"/>
            <w:shd w:val="clear" w:color="auto" w:fill="FFF3CD"/>
          </w:tcPr>
          <w:p>
            <w:r>
              <w:t>BINARY</w:t>
            </w:r>
          </w:p>
        </w:tc>
        <w:tc>
          <w:tcPr>
            <w:tcW w:type="dxa" w:w="1987"/>
          </w:tcPr>
          <w:p>
            <w:r>
              <w:t>WAIT — discipline pre-print. Post-print, enter 1.0–1.5% ONLY on beat + 18A customer confirmation.</w:t>
            </w:r>
          </w:p>
        </w:tc>
      </w:tr>
      <w:tr>
        <w:tc>
          <w:tcPr>
            <w:tcW w:type="dxa" w:w="1987"/>
          </w:tcPr>
          <w:p>
            <w:r>
              <w:t>NEE</w:t>
            </w:r>
          </w:p>
        </w:tc>
        <w:tc>
          <w:tcPr>
            <w:tcW w:type="dxa" w:w="1987"/>
          </w:tcPr>
          <w:p>
            <w:r>
              <w:t>Q1 2026 earnings pre-market today; consensus $0.91 EPS / $7.16B rev; 4 straight beats; Jefferies PT $93 (Hold)</w:t>
            </w:r>
          </w:p>
        </w:tc>
        <w:tc>
          <w:tcPr>
            <w:tcW w:type="dxa" w:w="1987"/>
          </w:tcPr>
          <w:p>
            <w:r>
              <w:t>StockTitan / Zacks (Apr 9, 2026)</w:t>
            </w:r>
          </w:p>
        </w:tc>
        <w:tc>
          <w:tcPr>
            <w:tcW w:type="dxa" w:w="1987"/>
            <w:shd w:val="clear" w:color="auto" w:fill="E2E3E5"/>
          </w:tcPr>
          <w:p>
            <w:r>
              <w:t>NEUTRAL</w:t>
            </w:r>
          </w:p>
        </w:tc>
        <w:tc>
          <w:tcPr>
            <w:tcW w:type="dxa" w:w="1987"/>
          </w:tcPr>
          <w:p>
            <w:r>
              <w:t>HOLD 2.0% into print. Renewables + data-center thesis intact.</w:t>
            </w:r>
          </w:p>
        </w:tc>
      </w:tr>
      <w:tr>
        <w:tc>
          <w:tcPr>
            <w:tcW w:type="dxa" w:w="1987"/>
          </w:tcPr>
          <w:p>
            <w:r>
              <w:t>LLY</w:t>
            </w:r>
          </w:p>
        </w:tc>
        <w:tc>
          <w:tcPr>
            <w:tcW w:type="dxa" w:w="1987"/>
          </w:tcPr>
          <w:p>
            <w:r>
              <w:t>Phase 3 ACHIEVE-4 Foundayo results in-line (Apr 15); $7B Kelonia CAR-T deal pressured shares (-1% to -2.5%); price slipped near $903–926 range (MS PT $1,327)</w:t>
            </w:r>
          </w:p>
        </w:tc>
        <w:tc>
          <w:tcPr>
            <w:tcW w:type="dxa" w:w="1987"/>
          </w:tcPr>
          <w:p>
            <w:r>
              <w:t>CNBC / Motley Fool (Apr 20–22)</w:t>
            </w:r>
          </w:p>
        </w:tc>
        <w:tc>
          <w:tcPr>
            <w:tcW w:type="dxa" w:w="1987"/>
            <w:shd w:val="clear" w:color="auto" w:fill="E2E3E5"/>
          </w:tcPr>
          <w:p>
            <w:r>
              <w:t>NEUTRAL</w:t>
            </w:r>
          </w:p>
        </w:tc>
        <w:tc>
          <w:tcPr>
            <w:tcW w:type="dxa" w:w="1987"/>
          </w:tcPr>
          <w:p>
            <w:r>
              <w:t>HOLD 4.5% — trigger 'below $920 → add' ALREADY executed Apr 21.</w:t>
            </w:r>
          </w:p>
        </w:tc>
      </w:tr>
      <w:tr>
        <w:tc>
          <w:tcPr>
            <w:tcW w:type="dxa" w:w="1987"/>
          </w:tcPr>
          <w:p>
            <w:r>
              <w:t>CRWD</w:t>
            </w:r>
          </w:p>
        </w:tc>
        <w:tc>
          <w:tcPr>
            <w:tcW w:type="dxa" w:w="1987"/>
          </w:tcPr>
          <w:p>
            <w:r>
              <w:t>Anthropic Project Glasswing partnership — CRWD/PANW named as AI-defense partners; CRWD +6.2% on news (Apr 15)</w:t>
            </w:r>
          </w:p>
        </w:tc>
        <w:tc>
          <w:tcPr>
            <w:tcW w:type="dxa" w:w="1987"/>
          </w:tcPr>
          <w:p>
            <w:r>
              <w:t>Seeking Alpha / TipRanks / Fool (Apr 15, 2026)</w:t>
            </w:r>
          </w:p>
        </w:tc>
        <w:tc>
          <w:tcPr>
            <w:tcW w:type="dxa" w:w="1987"/>
            <w:shd w:val="clear" w:color="auto" w:fill="D4EDDA"/>
          </w:tcPr>
          <w:p>
            <w:r>
              <w:t>POSITIVE</w:t>
            </w:r>
          </w:p>
        </w:tc>
        <w:tc>
          <w:tcPr>
            <w:tcW w:type="dxa" w:w="1987"/>
          </w:tcPr>
          <w:p>
            <w:r>
              <w:t>HOLD 1.5% (new Apr 21) — thesis confirmed by partnership.</w:t>
            </w:r>
          </w:p>
        </w:tc>
      </w:tr>
      <w:tr>
        <w:tc>
          <w:tcPr>
            <w:tcW w:type="dxa" w:w="1987"/>
          </w:tcPr>
          <w:p>
            <w:r>
              <w:t>PANW</w:t>
            </w:r>
          </w:p>
        </w:tc>
        <w:tc>
          <w:tcPr>
            <w:tcW w:type="dxa" w:w="1987"/>
          </w:tcPr>
          <w:p>
            <w:r>
              <w:t>Anthropic Project Glasswing; PANW +5% on day; avg PT $213 implies ~25% upside</w:t>
            </w:r>
          </w:p>
        </w:tc>
        <w:tc>
          <w:tcPr>
            <w:tcW w:type="dxa" w:w="1987"/>
          </w:tcPr>
          <w:p>
            <w:r>
              <w:t>Seeking Alpha (Apr 15, 2026)</w:t>
            </w:r>
          </w:p>
        </w:tc>
        <w:tc>
          <w:tcPr>
            <w:tcW w:type="dxa" w:w="1987"/>
            <w:shd w:val="clear" w:color="auto" w:fill="D4EDDA"/>
          </w:tcPr>
          <w:p>
            <w:r>
              <w:t>POSITIVE</w:t>
            </w:r>
          </w:p>
        </w:tc>
        <w:tc>
          <w:tcPr>
            <w:tcW w:type="dxa" w:w="1987"/>
          </w:tcPr>
          <w:p>
            <w:r>
              <w:t>HOLD 4.0%.</w:t>
            </w:r>
          </w:p>
        </w:tc>
      </w:tr>
      <w:tr>
        <w:tc>
          <w:tcPr>
            <w:tcW w:type="dxa" w:w="1987"/>
          </w:tcPr>
          <w:p>
            <w:r>
              <w:t>NVDA</w:t>
            </w:r>
          </w:p>
        </w:tc>
        <w:tc>
          <w:tcPr>
            <w:tcW w:type="dxa" w:w="1987"/>
          </w:tcPr>
          <w:p>
            <w:r>
              <w:t>NVIDIA-backed Vast Data Series F $1B at $30B valuation; Q1 sales +30% / net income +137%</w:t>
            </w:r>
          </w:p>
        </w:tc>
        <w:tc>
          <w:tcPr>
            <w:tcW w:type="dxa" w:w="1987"/>
          </w:tcPr>
          <w:p>
            <w:r>
              <w:t>CoinCentral / Yahoo (Apr 22–23)</w:t>
            </w:r>
          </w:p>
        </w:tc>
        <w:tc>
          <w:tcPr>
            <w:tcW w:type="dxa" w:w="1987"/>
            <w:shd w:val="clear" w:color="auto" w:fill="D4EDDA"/>
          </w:tcPr>
          <w:p>
            <w:r>
              <w:t>POSITIVE</w:t>
            </w:r>
          </w:p>
        </w:tc>
        <w:tc>
          <w:tcPr>
            <w:tcW w:type="dxa" w:w="1987"/>
          </w:tcPr>
          <w:p>
            <w:r>
              <w:t>HOLD 6.5%.</w:t>
            </w:r>
          </w:p>
        </w:tc>
      </w:tr>
      <w:tr>
        <w:tc>
          <w:tcPr>
            <w:tcW w:type="dxa" w:w="1987"/>
          </w:tcPr>
          <w:p>
            <w:r>
              <w:t>META</w:t>
            </w:r>
          </w:p>
        </w:tc>
        <w:tc>
          <w:tcPr>
            <w:tcW w:type="dxa" w:w="1987"/>
          </w:tcPr>
          <w:p>
            <w:r>
              <w:t>Tulsa $1B+ AI data-center groundbreaking; Q1 earnings Apr 29 (est. $6.71 EPS, $55.49B rev, +31% YoY)</w:t>
            </w:r>
          </w:p>
        </w:tc>
        <w:tc>
          <w:tcPr>
            <w:tcW w:type="dxa" w:w="1987"/>
          </w:tcPr>
          <w:p>
            <w:r>
              <w:t>Yahoo / Motley Fool (Apr 22)</w:t>
            </w:r>
          </w:p>
        </w:tc>
        <w:tc>
          <w:tcPr>
            <w:tcW w:type="dxa" w:w="1987"/>
            <w:shd w:val="clear" w:color="auto" w:fill="D4EDDA"/>
          </w:tcPr>
          <w:p>
            <w:r>
              <w:t>POSITIVE</w:t>
            </w:r>
          </w:p>
        </w:tc>
        <w:tc>
          <w:tcPr>
            <w:tcW w:type="dxa" w:w="1987"/>
          </w:tcPr>
          <w:p>
            <w:r>
              <w:t>HOLD 4.5% into print.</w:t>
            </w:r>
          </w:p>
        </w:tc>
      </w:tr>
      <w:tr>
        <w:tc>
          <w:tcPr>
            <w:tcW w:type="dxa" w:w="1987"/>
          </w:tcPr>
          <w:p>
            <w:r>
              <w:t>AVGO</w:t>
            </w:r>
          </w:p>
        </w:tc>
        <w:tc>
          <w:tcPr>
            <w:tcW w:type="dxa" w:w="1987"/>
          </w:tcPr>
          <w:p>
            <w:r>
              <w:t>Extended Meta MTIA custom-silicon partnership (Apr 8); AI chip rev $8.4B (+106% YoY); warns TSMC capacity tight</w:t>
            </w:r>
          </w:p>
        </w:tc>
        <w:tc>
          <w:tcPr>
            <w:tcW w:type="dxa" w:w="1987"/>
          </w:tcPr>
          <w:p>
            <w:r>
              <w:t>TipRanks / MarketBeat (Apr)</w:t>
            </w:r>
          </w:p>
        </w:tc>
        <w:tc>
          <w:tcPr>
            <w:tcW w:type="dxa" w:w="1987"/>
            <w:shd w:val="clear" w:color="auto" w:fill="D4EDDA"/>
          </w:tcPr>
          <w:p>
            <w:r>
              <w:t>POSITIVE</w:t>
            </w:r>
          </w:p>
        </w:tc>
        <w:tc>
          <w:tcPr>
            <w:tcW w:type="dxa" w:w="1987"/>
          </w:tcPr>
          <w:p>
            <w:r>
              <w:t>HOLD 4.0%.</w:t>
            </w:r>
          </w:p>
        </w:tc>
      </w:tr>
      <w:tr>
        <w:tc>
          <w:tcPr>
            <w:tcW w:type="dxa" w:w="1987"/>
          </w:tcPr>
          <w:p>
            <w:r>
              <w:t>TSM</w:t>
            </w:r>
          </w:p>
        </w:tc>
        <w:tc>
          <w:tcPr>
            <w:tcW w:type="dxa" w:w="1987"/>
          </w:tcPr>
          <w:p>
            <w:r>
              <w:t>18 Strong Buy / 0 Sell; 2026 guide ~30% USD rev growth; price ~$387</w:t>
            </w:r>
          </w:p>
        </w:tc>
        <w:tc>
          <w:tcPr>
            <w:tcW w:type="dxa" w:w="1987"/>
          </w:tcPr>
          <w:p>
            <w:r>
              <w:t>Investing.com (Apr 23)</w:t>
            </w:r>
          </w:p>
        </w:tc>
        <w:tc>
          <w:tcPr>
            <w:tcW w:type="dxa" w:w="1987"/>
            <w:shd w:val="clear" w:color="auto" w:fill="D4EDDA"/>
          </w:tcPr>
          <w:p>
            <w:r>
              <w:t>POSITIVE</w:t>
            </w:r>
          </w:p>
        </w:tc>
        <w:tc>
          <w:tcPr>
            <w:tcW w:type="dxa" w:w="1987"/>
          </w:tcPr>
          <w:p>
            <w:r>
              <w:t>HOLD 3.0%.</w:t>
            </w:r>
          </w:p>
        </w:tc>
      </w:tr>
      <w:tr>
        <w:tc>
          <w:tcPr>
            <w:tcW w:type="dxa" w:w="1987"/>
          </w:tcPr>
          <w:p>
            <w:r>
              <w:t>MSFT</w:t>
            </w:r>
          </w:p>
        </w:tc>
        <w:tc>
          <w:tcPr>
            <w:tcW w:type="dxa" w:w="1987"/>
          </w:tcPr>
          <w:p>
            <w:r>
              <w:t>YTD -13.6% but +19% since Mar 30 rebound; Q3 FY26 earnings Apr 29 after close</w:t>
            </w:r>
          </w:p>
        </w:tc>
        <w:tc>
          <w:tcPr>
            <w:tcW w:type="dxa" w:w="1987"/>
          </w:tcPr>
          <w:p>
            <w:r>
              <w:t>GuruFocus / Microsoft IR</w:t>
            </w:r>
          </w:p>
        </w:tc>
        <w:tc>
          <w:tcPr>
            <w:tcW w:type="dxa" w:w="1987"/>
            <w:shd w:val="clear" w:color="auto" w:fill="E2E3E5"/>
          </w:tcPr>
          <w:p>
            <w:r>
              <w:t>NEUTRAL</w:t>
            </w:r>
          </w:p>
        </w:tc>
        <w:tc>
          <w:tcPr>
            <w:tcW w:type="dxa" w:w="1987"/>
          </w:tcPr>
          <w:p>
            <w:r>
              <w:t>HOLD 4.0% into print.</w:t>
            </w:r>
          </w:p>
        </w:tc>
      </w:tr>
      <w:tr>
        <w:tc>
          <w:tcPr>
            <w:tcW w:type="dxa" w:w="1987"/>
          </w:tcPr>
          <w:p>
            <w:r>
              <w:t>AMZN</w:t>
            </w:r>
          </w:p>
        </w:tc>
        <w:tc>
          <w:tcPr>
            <w:tcW w:type="dxa" w:w="1987"/>
          </w:tcPr>
          <w:p>
            <w:r>
              <w:t>Q1 earnings Apr 29; AWS +24% prior Q (13-quarter high); 2026 capex guide $125B</w:t>
            </w:r>
          </w:p>
        </w:tc>
        <w:tc>
          <w:tcPr>
            <w:tcW w:type="dxa" w:w="1987"/>
          </w:tcPr>
          <w:p>
            <w:r>
              <w:t>Yahoo / IndexBox</w:t>
            </w:r>
          </w:p>
        </w:tc>
        <w:tc>
          <w:tcPr>
            <w:tcW w:type="dxa" w:w="1987"/>
            <w:shd w:val="clear" w:color="auto" w:fill="E2E3E5"/>
          </w:tcPr>
          <w:p>
            <w:r>
              <w:t>NEUTRAL</w:t>
            </w:r>
          </w:p>
        </w:tc>
        <w:tc>
          <w:tcPr>
            <w:tcW w:type="dxa" w:w="1987"/>
          </w:tcPr>
          <w:p>
            <w:r>
              <w:t>HOLD 5.5%.</w:t>
            </w:r>
          </w:p>
        </w:tc>
      </w:tr>
      <w:tr>
        <w:tc>
          <w:tcPr>
            <w:tcW w:type="dxa" w:w="1987"/>
          </w:tcPr>
          <w:p>
            <w:r>
              <w:t>NFLX</w:t>
            </w:r>
          </w:p>
        </w:tc>
        <w:tc>
          <w:tcPr>
            <w:tcW w:type="dxa" w:w="1987"/>
          </w:tcPr>
          <w:p>
            <w:r>
              <w:t>Q1 beat revenue &amp; EPS (reported Apr 16); raised prices across plans; ad-rev on track to double to $3B in 2026</w:t>
            </w:r>
          </w:p>
        </w:tc>
        <w:tc>
          <w:tcPr>
            <w:tcW w:type="dxa" w:w="1987"/>
          </w:tcPr>
          <w:p>
            <w:r>
              <w:t>CNBC (Apr 16)</w:t>
            </w:r>
          </w:p>
        </w:tc>
        <w:tc>
          <w:tcPr>
            <w:tcW w:type="dxa" w:w="1987"/>
            <w:shd w:val="clear" w:color="auto" w:fill="D4EDDA"/>
          </w:tcPr>
          <w:p>
            <w:r>
              <w:t>POSITIVE</w:t>
            </w:r>
          </w:p>
        </w:tc>
        <w:tc>
          <w:tcPr>
            <w:tcW w:type="dxa" w:w="1987"/>
          </w:tcPr>
          <w:p>
            <w:r>
              <w:t>HOLD 1.5%.</w:t>
            </w:r>
          </w:p>
        </w:tc>
      </w:tr>
      <w:tr>
        <w:tc>
          <w:tcPr>
            <w:tcW w:type="dxa" w:w="1987"/>
          </w:tcPr>
          <w:p>
            <w:r>
              <w:t>JPM</w:t>
            </w:r>
          </w:p>
        </w:tc>
        <w:tc>
          <w:tcPr>
            <w:tcW w:type="dxa" w:w="1987"/>
          </w:tcPr>
          <w:p>
            <w:r>
              <w:t>Q1 beat ($5.94 EPS vs $5.45 est.); FY NII guide trimmed $104.5B→$103B; Dimon credit-cycle caution</w:t>
            </w:r>
          </w:p>
        </w:tc>
        <w:tc>
          <w:tcPr>
            <w:tcW w:type="dxa" w:w="1987"/>
          </w:tcPr>
          <w:p>
            <w:r>
              <w:t>CNBC / Fool (Apr 14, 2026)</w:t>
            </w:r>
          </w:p>
        </w:tc>
        <w:tc>
          <w:tcPr>
            <w:tcW w:type="dxa" w:w="1987"/>
            <w:shd w:val="clear" w:color="auto" w:fill="E2E3E5"/>
          </w:tcPr>
          <w:p>
            <w:r>
              <w:t>NEUTRAL</w:t>
            </w:r>
          </w:p>
        </w:tc>
        <w:tc>
          <w:tcPr>
            <w:tcW w:type="dxa" w:w="1987"/>
          </w:tcPr>
          <w:p>
            <w:r>
              <w:t>HOLD 4.5% — increase already executed Apr 21.</w:t>
            </w:r>
          </w:p>
        </w:tc>
      </w:tr>
      <w:tr>
        <w:tc>
          <w:tcPr>
            <w:tcW w:type="dxa" w:w="1987"/>
          </w:tcPr>
          <w:p>
            <w:r>
              <w:t>V</w:t>
            </w:r>
          </w:p>
        </w:tc>
        <w:tc>
          <w:tcPr>
            <w:tcW w:type="dxa" w:w="1987"/>
          </w:tcPr>
          <w:p>
            <w:r>
              <w:t>Named JPMorgan 'top overall fintech pick'; stablecoin settlement run-rate scaled $2.5B→$4.6B QoQ; commercial volume +10%</w:t>
            </w:r>
          </w:p>
        </w:tc>
        <w:tc>
          <w:tcPr>
            <w:tcW w:type="dxa" w:w="1987"/>
          </w:tcPr>
          <w:p>
            <w:r>
              <w:t>Investing.com (Apr)</w:t>
            </w:r>
          </w:p>
        </w:tc>
        <w:tc>
          <w:tcPr>
            <w:tcW w:type="dxa" w:w="1987"/>
            <w:shd w:val="clear" w:color="auto" w:fill="D4EDDA"/>
          </w:tcPr>
          <w:p>
            <w:r>
              <w:t>POSITIVE</w:t>
            </w:r>
          </w:p>
        </w:tc>
        <w:tc>
          <w:tcPr>
            <w:tcW w:type="dxa" w:w="1987"/>
          </w:tcPr>
          <w:p>
            <w:r>
              <w:t>HOLD 3.0%.</w:t>
            </w:r>
          </w:p>
        </w:tc>
      </w:tr>
      <w:tr>
        <w:tc>
          <w:tcPr>
            <w:tcW w:type="dxa" w:w="1987"/>
          </w:tcPr>
          <w:p>
            <w:r>
              <w:t>ORCL</w:t>
            </w:r>
          </w:p>
        </w:tc>
        <w:tc>
          <w:tcPr>
            <w:tcW w:type="dxa" w:w="1987"/>
          </w:tcPr>
          <w:p>
            <w:r>
              <w:t>Defense-AI cohort (Wedbush Ives) alongside PLTR/MSFT; OCI +84% YoY; Stargate execution risk (negative FCF, $100B+ debt)</w:t>
            </w:r>
          </w:p>
        </w:tc>
        <w:tc>
          <w:tcPr>
            <w:tcW w:type="dxa" w:w="1987"/>
          </w:tcPr>
          <w:p>
            <w:r>
              <w:t>24/7 Wall St (Apr 6)</w:t>
            </w:r>
          </w:p>
        </w:tc>
        <w:tc>
          <w:tcPr>
            <w:tcW w:type="dxa" w:w="1987"/>
            <w:shd w:val="clear" w:color="auto" w:fill="FFE5B4"/>
          </w:tcPr>
          <w:p>
            <w:r>
              <w:t>MIXED</w:t>
            </w:r>
          </w:p>
        </w:tc>
        <w:tc>
          <w:tcPr>
            <w:tcW w:type="dxa" w:w="1987"/>
          </w:tcPr>
          <w:p>
            <w:r>
              <w:t>HOLD 3.5% — increase already executed Apr 21.</w:t>
            </w:r>
          </w:p>
        </w:tc>
      </w:tr>
      <w:tr>
        <w:tc>
          <w:tcPr>
            <w:tcW w:type="dxa" w:w="1987"/>
          </w:tcPr>
          <w:p>
            <w:r>
              <w:t>PLTR</w:t>
            </w:r>
          </w:p>
        </w:tc>
        <w:tc>
          <w:tcPr>
            <w:tcW w:type="dxa" w:w="1987"/>
          </w:tcPr>
          <w:p>
            <w:r>
              <w:t>Golden Dome missile-defense core software dev; $25B FY26 budget + $795M Army contract; FY26 guide $7.18–7.20B (+61%)</w:t>
            </w:r>
          </w:p>
        </w:tc>
        <w:tc>
          <w:tcPr>
            <w:tcW w:type="dxa" w:w="1987"/>
          </w:tcPr>
          <w:p>
            <w:r>
              <w:t>Tickeron / 24/7 (Apr)</w:t>
            </w:r>
          </w:p>
        </w:tc>
        <w:tc>
          <w:tcPr>
            <w:tcW w:type="dxa" w:w="1987"/>
            <w:shd w:val="clear" w:color="auto" w:fill="D4EDDA"/>
          </w:tcPr>
          <w:p>
            <w:r>
              <w:t>POSITIVE</w:t>
            </w:r>
          </w:p>
        </w:tc>
        <w:tc>
          <w:tcPr>
            <w:tcW w:type="dxa" w:w="1987"/>
          </w:tcPr>
          <w:p>
            <w:r>
              <w:t>HOLD 3.0%.</w:t>
            </w:r>
          </w:p>
        </w:tc>
      </w:tr>
      <w:tr>
        <w:tc>
          <w:tcPr>
            <w:tcW w:type="dxa" w:w="1987"/>
          </w:tcPr>
          <w:p>
            <w:r>
              <w:t>GOOGL</w:t>
            </w:r>
          </w:p>
        </w:tc>
        <w:tc>
          <w:tcPr>
            <w:tcW w:type="dxa" w:w="1987"/>
          </w:tcPr>
          <w:p>
            <w:r>
              <w:t>Google Cloud Next conference Apr 22–24 ongoing; Q1 earnings date conflict in sources (Apr 22 vs Apr 29) — most point to Apr 29</w:t>
            </w:r>
          </w:p>
        </w:tc>
        <w:tc>
          <w:tcPr>
            <w:tcW w:type="dxa" w:w="1987"/>
          </w:tcPr>
          <w:p>
            <w:r>
              <w:t>Meyka / Nasdaq / WSH</w:t>
            </w:r>
          </w:p>
        </w:tc>
        <w:tc>
          <w:tcPr>
            <w:tcW w:type="dxa" w:w="1987"/>
            <w:shd w:val="clear" w:color="auto" w:fill="E2E3E5"/>
          </w:tcPr>
          <w:p>
            <w:r>
              <w:t>NEUTRAL</w:t>
            </w:r>
          </w:p>
        </w:tc>
        <w:tc>
          <w:tcPr>
            <w:tcW w:type="dxa" w:w="1987"/>
          </w:tcPr>
          <w:p>
            <w:r>
              <w:t>HOLD 3.0% — confirm earnings date in Friday's scan.</w:t>
            </w:r>
          </w:p>
        </w:tc>
      </w:tr>
    </w:tbl>
    <w:p/>
    <w:p>
      <w:r>
        <w:rPr>
          <w:i/>
          <w:color w:val="777777"/>
          <w:sz w:val="18"/>
        </w:rPr>
        <w:t>* INTC reports AFTER close today at 5:00 PM ET (not pre-market). Any action is tomorrow's agenda.</w:t>
      </w:r>
    </w:p>
    <w:p>
      <w:r>
        <w:rPr>
          <w:b/>
        </w:rPr>
        <w:t xml:space="preserve">Holdings with no material pre-market news: </w:t>
      </w:r>
      <w:r>
        <w:t>UNH, QQQ, VUG, SCHD, MU, COST, DASH, ABBV. All HOLD at current weights.</w:t>
      </w:r>
    </w:p>
    <w:p>
      <w:pPr>
        <w:pStyle w:val="Heading1"/>
      </w:pPr>
      <w:r>
        <w:t>3. Scan 2 — New Opportunities &amp; Watchlist</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val="clear" w:color="auto" w:fill="1F4E79"/>
          </w:tcPr>
          <w:p>
            <w:r>
              <w:rPr>
                <w:b/>
                <w:color w:val="FFFFFF"/>
              </w:rPr>
              <w:t>Ticker</w:t>
            </w:r>
          </w:p>
        </w:tc>
        <w:tc>
          <w:tcPr>
            <w:tcW w:type="dxa" w:w="2484"/>
            <w:shd w:val="clear" w:color="auto" w:fill="1F4E79"/>
          </w:tcPr>
          <w:p>
            <w:r>
              <w:rPr>
                <w:b/>
                <w:color w:val="FFFFFF"/>
              </w:rPr>
              <w:t>Status vs Trigger</w:t>
            </w:r>
          </w:p>
        </w:tc>
        <w:tc>
          <w:tcPr>
            <w:tcW w:type="dxa" w:w="2484"/>
            <w:shd w:val="clear" w:color="auto" w:fill="1F4E79"/>
          </w:tcPr>
          <w:p>
            <w:r>
              <w:rPr>
                <w:b/>
                <w:color w:val="FFFFFF"/>
              </w:rPr>
              <w:t>Recent Signal</w:t>
            </w:r>
          </w:p>
        </w:tc>
        <w:tc>
          <w:tcPr>
            <w:tcW w:type="dxa" w:w="2484"/>
            <w:shd w:val="clear" w:color="auto" w:fill="1F4E79"/>
          </w:tcPr>
          <w:p>
            <w:r>
              <w:rPr>
                <w:b/>
                <w:color w:val="FFFFFF"/>
              </w:rPr>
              <w:t>Recommendation</w:t>
            </w:r>
          </w:p>
        </w:tc>
      </w:tr>
      <w:tr>
        <w:tc>
          <w:tcPr>
            <w:tcW w:type="dxa" w:w="2484"/>
          </w:tcPr>
          <w:p>
            <w:r>
              <w:t>CRWD</w:t>
            </w:r>
          </w:p>
        </w:tc>
        <w:tc>
          <w:tcPr>
            <w:tcW w:type="dxa" w:w="2484"/>
          </w:tcPr>
          <w:p>
            <w:r>
              <w:t>TRIGGER MET — entered Apr 21 at 1.5%</w:t>
            </w:r>
          </w:p>
        </w:tc>
        <w:tc>
          <w:tcPr>
            <w:tcW w:type="dxa" w:w="2484"/>
          </w:tcPr>
          <w:p>
            <w:r>
              <w:t>Anthropic Project Glasswing partnership; +6.2% on news</w:t>
            </w:r>
          </w:p>
        </w:tc>
        <w:tc>
          <w:tcPr>
            <w:tcW w:type="dxa" w:w="2484"/>
          </w:tcPr>
          <w:p>
            <w:r>
              <w:t>HOLD new position; re-evaluate sizing after Q1 print.</w:t>
            </w:r>
          </w:p>
        </w:tc>
      </w:tr>
      <w:tr>
        <w:tc>
          <w:tcPr>
            <w:tcW w:type="dxa" w:w="2484"/>
          </w:tcPr>
          <w:p>
            <w:r>
              <w:t>SPOT</w:t>
            </w:r>
          </w:p>
        </w:tc>
        <w:tc>
          <w:tcPr>
            <w:tcW w:type="dxa" w:w="2484"/>
          </w:tcPr>
          <w:p>
            <w:r>
              <w:t>Price ~$750 (target &lt;$700)</w:t>
            </w:r>
          </w:p>
        </w:tc>
        <w:tc>
          <w:tcPr>
            <w:tcW w:type="dxa" w:w="2484"/>
          </w:tcPr>
          <w:p>
            <w:r>
              <w:t>GS Buy rating @ $700 PT reiterated Jan; BofA top media pick</w:t>
            </w:r>
          </w:p>
        </w:tc>
        <w:tc>
          <w:tcPr>
            <w:tcW w:type="dxa" w:w="2484"/>
          </w:tcPr>
          <w:p>
            <w:r>
              <w:t>WAIT for &lt;$700 pullback or Q1 beat.</w:t>
            </w:r>
          </w:p>
        </w:tc>
      </w:tr>
      <w:tr>
        <w:tc>
          <w:tcPr>
            <w:tcW w:type="dxa" w:w="2484"/>
          </w:tcPr>
          <w:p>
            <w:r>
              <w:t>ARM</w:t>
            </w:r>
          </w:p>
        </w:tc>
        <w:tc>
          <w:tcPr>
            <w:tcW w:type="dxa" w:w="2484"/>
          </w:tcPr>
          <w:p>
            <w:r>
              <w:t>No trigger</w:t>
            </w:r>
          </w:p>
        </w:tc>
        <w:tc>
          <w:tcPr>
            <w:tcW w:type="dxa" w:w="2484"/>
          </w:tcPr>
          <w:p>
            <w:r>
              <w:t>GS downgraded to Sell w/ $120 PT (limited AI cycle exposure, business-model transition)</w:t>
            </w:r>
          </w:p>
        </w:tc>
        <w:tc>
          <w:tcPr>
            <w:tcW w:type="dxa" w:w="2484"/>
          </w:tcPr>
          <w:p>
            <w:r>
              <w:t>PASS — active sell-side headwind.</w:t>
            </w:r>
          </w:p>
        </w:tc>
      </w:tr>
      <w:tr>
        <w:tc>
          <w:tcPr>
            <w:tcW w:type="dxa" w:w="2484"/>
          </w:tcPr>
          <w:p>
            <w:r>
              <w:t>INTC</w:t>
            </w:r>
          </w:p>
        </w:tc>
        <w:tc>
          <w:tcPr>
            <w:tcW w:type="dxa" w:w="2484"/>
          </w:tcPr>
          <w:p>
            <w:r>
              <w:t>Binary catalyst tonight</w:t>
            </w:r>
          </w:p>
        </w:tc>
        <w:tc>
          <w:tcPr>
            <w:tcW w:type="dxa" w:w="2484"/>
          </w:tcPr>
          <w:p>
            <w:r>
              <w:t>Options imply ±9.9% move; stock +78% YTD; RSI extended</w:t>
            </w:r>
          </w:p>
        </w:tc>
        <w:tc>
          <w:tcPr>
            <w:tcW w:type="dxa" w:w="2484"/>
          </w:tcPr>
          <w:p>
            <w:r>
              <w:t>WAIT for after-close print; enter 1.0–1.5% on beat + 18A external customer.</w:t>
            </w:r>
          </w:p>
        </w:tc>
      </w:tr>
      <w:tr>
        <w:tc>
          <w:tcPr>
            <w:tcW w:type="dxa" w:w="2484"/>
          </w:tcPr>
          <w:p>
            <w:r>
              <w:t>GS</w:t>
            </w:r>
          </w:p>
        </w:tc>
        <w:tc>
          <w:tcPr>
            <w:tcW w:type="dxa" w:w="2484"/>
          </w:tcPr>
          <w:p>
            <w:r>
              <w:t>No fresh entry signal</w:t>
            </w:r>
          </w:p>
        </w:tc>
        <w:tc>
          <w:tcPr>
            <w:tcW w:type="dxa" w:w="2484"/>
          </w:tcPr>
          <w:p>
            <w:r>
              <w:t>Active research coverage; no specific upgrade today</w:t>
            </w:r>
          </w:p>
        </w:tc>
        <w:tc>
          <w:tcPr>
            <w:tcW w:type="dxa" w:w="2484"/>
          </w:tcPr>
          <w:p>
            <w:r>
              <w:t>MONITOR.</w:t>
            </w:r>
          </w:p>
        </w:tc>
      </w:tr>
      <w:tr>
        <w:tc>
          <w:tcPr>
            <w:tcW w:type="dxa" w:w="2484"/>
          </w:tcPr>
          <w:p>
            <w:r>
              <w:t>WM / MDB / ISRG</w:t>
            </w:r>
          </w:p>
        </w:tc>
        <w:tc>
          <w:tcPr>
            <w:tcW w:type="dxa" w:w="2484"/>
          </w:tcPr>
          <w:p>
            <w:r>
              <w:t>Watchlist — no trigger</w:t>
            </w:r>
          </w:p>
        </w:tc>
        <w:tc>
          <w:tcPr>
            <w:tcW w:type="dxa" w:w="2484"/>
          </w:tcPr>
          <w:p>
            <w:r>
              <w:t>No actionable catalysts pre-market</w:t>
            </w:r>
          </w:p>
        </w:tc>
        <w:tc>
          <w:tcPr>
            <w:tcW w:type="dxa" w:w="2484"/>
          </w:tcPr>
          <w:p>
            <w:r>
              <w:t>MONITOR.</w:t>
            </w:r>
          </w:p>
        </w:tc>
      </w:tr>
    </w:tbl>
    <w:p/>
    <w:p>
      <w:pPr>
        <w:pStyle w:val="Heading1"/>
      </w:pPr>
      <w:r>
        <w:t>4. Cash Recommendation</w:t>
      </w:r>
    </w:p>
    <w:tbl>
      <w:tblPr>
        <w:tblStyle w:val="LightGrid-Accent1"/>
        <w:tblW w:type="auto" w:w="0"/>
        <w:tblLook w:firstColumn="1" w:firstRow="1" w:lastColumn="0" w:lastRow="0" w:noHBand="0" w:noVBand="1" w:val="04A0"/>
      </w:tblPr>
      <w:tblGrid>
        <w:gridCol w:w="3312"/>
        <w:gridCol w:w="3312"/>
        <w:gridCol w:w="3312"/>
      </w:tblGrid>
      <w:tr>
        <w:tc>
          <w:tcPr>
            <w:tcW w:type="dxa" w:w="3312"/>
            <w:shd w:val="clear" w:color="auto" w:fill="1F4E79"/>
          </w:tcPr>
          <w:p>
            <w:r>
              <w:rPr>
                <w:b/>
                <w:color w:val="FFFFFF"/>
              </w:rPr>
              <w:t>Framework</w:t>
            </w:r>
          </w:p>
        </w:tc>
        <w:tc>
          <w:tcPr>
            <w:tcW w:type="dxa" w:w="3312"/>
            <w:shd w:val="clear" w:color="auto" w:fill="1F4E79"/>
          </w:tcPr>
          <w:p>
            <w:r>
              <w:rPr>
                <w:b/>
                <w:color w:val="FFFFFF"/>
              </w:rPr>
              <w:t>Current Read</w:t>
            </w:r>
          </w:p>
        </w:tc>
        <w:tc>
          <w:tcPr>
            <w:tcW w:type="dxa" w:w="3312"/>
            <w:shd w:val="clear" w:color="auto" w:fill="1F4E79"/>
          </w:tcPr>
          <w:p>
            <w:r>
              <w:rPr>
                <w:b/>
                <w:color w:val="FFFFFF"/>
              </w:rPr>
              <w:t>Cash Target</w:t>
            </w:r>
          </w:p>
        </w:tc>
      </w:tr>
      <w:tr>
        <w:tc>
          <w:tcPr>
            <w:tcW w:type="dxa" w:w="3312"/>
          </w:tcPr>
          <w:p>
            <w:r>
              <w:t>Floor</w:t>
            </w:r>
          </w:p>
        </w:tc>
        <w:tc>
          <w:tcPr>
            <w:tcW w:type="dxa" w:w="3312"/>
          </w:tcPr>
          <w:p>
            <w:r>
              <w:t>15% minimum (always)</w:t>
            </w:r>
          </w:p>
        </w:tc>
        <w:tc>
          <w:tcPr>
            <w:tcW w:type="dxa" w:w="3312"/>
          </w:tcPr>
          <w:p>
            <w:r>
              <w:t>≥15%</w:t>
            </w:r>
          </w:p>
        </w:tc>
      </w:tr>
      <w:tr>
        <w:tc>
          <w:tcPr>
            <w:tcW w:type="dxa" w:w="3312"/>
          </w:tcPr>
          <w:p>
            <w:r>
              <w:t>VIX&gt;30 or macro shock</w:t>
            </w:r>
          </w:p>
        </w:tc>
        <w:tc>
          <w:tcPr>
            <w:tcW w:type="dxa" w:w="3312"/>
          </w:tcPr>
          <w:p>
            <w:r>
              <w:t>VIX 19.7 — no shock trigger</w:t>
            </w:r>
          </w:p>
        </w:tc>
        <w:tc>
          <w:tcPr>
            <w:tcW w:type="dxa" w:w="3312"/>
          </w:tcPr>
          <w:p>
            <w:r>
              <w:t>—</w:t>
            </w:r>
          </w:p>
        </w:tc>
      </w:tr>
      <w:tr>
        <w:tc>
          <w:tcPr>
            <w:tcW w:type="dxa" w:w="3312"/>
          </w:tcPr>
          <w:p>
            <w:r>
              <w:t>Strong market + conviction</w:t>
            </w:r>
          </w:p>
        </w:tc>
        <w:tc>
          <w:tcPr>
            <w:tcW w:type="dxa" w:w="3312"/>
          </w:tcPr>
          <w:p>
            <w:r>
              <w:t>S&amp;P near record; earnings constructive</w:t>
            </w:r>
          </w:p>
        </w:tc>
        <w:tc>
          <w:tcPr>
            <w:tcW w:type="dxa" w:w="3312"/>
          </w:tcPr>
          <w:p>
            <w:r>
              <w:t>Toward 17%</w:t>
            </w:r>
          </w:p>
        </w:tc>
      </w:tr>
      <w:tr>
        <w:tc>
          <w:tcPr>
            <w:tcW w:type="dxa" w:w="3312"/>
          </w:tcPr>
          <w:p>
            <w:r>
              <w:t>Selective deployment</w:t>
            </w:r>
          </w:p>
        </w:tc>
        <w:tc>
          <w:tcPr>
            <w:tcW w:type="dxa" w:w="3312"/>
          </w:tcPr>
          <w:p>
            <w:r>
              <w:t>Near-term: possible INTC (1.0–1.5%) post-print; energy re-add candidate (0.5%)</w:t>
            </w:r>
          </w:p>
        </w:tc>
        <w:tc>
          <w:tcPr>
            <w:tcW w:type="dxa" w:w="3312"/>
          </w:tcPr>
          <w:p>
            <w:r>
              <w:t>1.5–3% deploys available</w:t>
            </w:r>
          </w:p>
        </w:tc>
      </w:tr>
      <w:tr>
        <w:tc>
          <w:tcPr>
            <w:tcW w:type="dxa" w:w="3312"/>
          </w:tcPr>
          <w:p>
            <w:r>
              <w:t>CURRENT CASH</w:t>
            </w:r>
          </w:p>
        </w:tc>
        <w:tc>
          <w:tcPr>
            <w:tcW w:type="dxa" w:w="3312"/>
          </w:tcPr>
          <w:p>
            <w:r>
              <w:t>18.0% (post Apr 21 deployments)</w:t>
            </w:r>
          </w:p>
        </w:tc>
        <w:tc>
          <w:tcPr>
            <w:tcW w:type="dxa" w:w="3312"/>
          </w:tcPr>
          <w:p>
            <w:r>
              <w:t>HOLD 18% today; 16.5–17% reachable next 1–2 sessions if INTC prints well</w:t>
            </w:r>
          </w:p>
        </w:tc>
      </w:tr>
    </w:tbl>
    <w:p/>
    <w:p>
      <w:r>
        <w:rPr>
          <w:b/>
        </w:rPr>
        <w:t xml:space="preserve">Rationale: </w:t>
      </w:r>
      <w:r>
        <w:t>Cash at 18.0% sits comfortably above the 15% floor with ~3% of available dry powder for selective deployment. Oil's geopolitical spike is a specific-sector story (positive for XOM/EOG) rather than a broad-market shock — VIX remains &lt;20. Recommended posture is patient: retain 18% cash into the INTC print, then choose between (a) 1.0–1.5% INTC on confirmed beat + 18A external customer, or (b) 0.5% energy re-add (XOM) if WTI holds above $90 for three consecutive sessions. No action required today.</w:t>
      </w:r>
    </w:p>
    <w:p>
      <w:pPr>
        <w:pStyle w:val="Heading1"/>
      </w:pPr>
      <w:r>
        <w:t>5. Pending Catalysts — Status Update</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val="clear" w:color="auto" w:fill="1F4E79"/>
          </w:tcPr>
          <w:p>
            <w:r>
              <w:rPr>
                <w:b/>
                <w:color w:val="FFFFFF"/>
              </w:rPr>
              <w:t>Catalyst</w:t>
            </w:r>
          </w:p>
        </w:tc>
        <w:tc>
          <w:tcPr>
            <w:tcW w:type="dxa" w:w="2484"/>
            <w:shd w:val="clear" w:color="auto" w:fill="1F4E79"/>
          </w:tcPr>
          <w:p>
            <w:r>
              <w:rPr>
                <w:b/>
                <w:color w:val="FFFFFF"/>
              </w:rPr>
              <w:t>Trigger</w:t>
            </w:r>
          </w:p>
        </w:tc>
        <w:tc>
          <w:tcPr>
            <w:tcW w:type="dxa" w:w="2484"/>
            <w:shd w:val="clear" w:color="auto" w:fill="1F4E79"/>
          </w:tcPr>
          <w:p>
            <w:r>
              <w:rPr>
                <w:b/>
                <w:color w:val="FFFFFF"/>
              </w:rPr>
              <w:t>Status (as of 2026-04-23)</w:t>
            </w:r>
          </w:p>
        </w:tc>
        <w:tc>
          <w:tcPr>
            <w:tcW w:type="dxa" w:w="2484"/>
            <w:shd w:val="clear" w:color="auto" w:fill="1F4E79"/>
          </w:tcPr>
          <w:p>
            <w:r>
              <w:rPr>
                <w:b/>
                <w:color w:val="FFFFFF"/>
              </w:rPr>
              <w:t>Resolution</w:t>
            </w:r>
          </w:p>
        </w:tc>
      </w:tr>
      <w:tr>
        <w:tc>
          <w:tcPr>
            <w:tcW w:type="dxa" w:w="2484"/>
          </w:tcPr>
          <w:p>
            <w:r>
              <w:t>JPM Q1 Earnings (Apr 14)</w:t>
            </w:r>
          </w:p>
        </w:tc>
        <w:tc>
          <w:tcPr>
            <w:tcW w:type="dxa" w:w="2484"/>
          </w:tcPr>
          <w:p>
            <w:r>
              <w:t>Beat + strong NII → JPM 4.0→4.5% + CRWD 1.5%</w:t>
            </w:r>
          </w:p>
        </w:tc>
        <w:tc>
          <w:tcPr>
            <w:tcW w:type="dxa" w:w="2484"/>
          </w:tcPr>
          <w:p>
            <w:r>
              <w:t>BEAT confirmed ($5.94 vs $5.45)</w:t>
            </w:r>
          </w:p>
        </w:tc>
        <w:tc>
          <w:tcPr>
            <w:tcW w:type="dxa" w:w="2484"/>
          </w:tcPr>
          <w:p>
            <w:r>
              <w:t>CLOSED — Executed Apr 21. JPM 4.5% / CRWD 1.5% new.</w:t>
            </w:r>
          </w:p>
        </w:tc>
      </w:tr>
      <w:tr>
        <w:tc>
          <w:tcPr>
            <w:tcW w:type="dxa" w:w="2484"/>
          </w:tcPr>
          <w:p>
            <w:r>
              <w:t>LLY below $920</w:t>
            </w:r>
          </w:p>
        </w:tc>
        <w:tc>
          <w:tcPr>
            <w:tcW w:type="dxa" w:w="2484"/>
          </w:tcPr>
          <w:p>
            <w:r>
              <w:t>No fundamental change → +0.5%</w:t>
            </w:r>
          </w:p>
        </w:tc>
        <w:tc>
          <w:tcPr>
            <w:tcW w:type="dxa" w:w="2484"/>
          </w:tcPr>
          <w:p>
            <w:r>
              <w:t>LLY at $903–926 zone (below $920 touched)</w:t>
            </w:r>
          </w:p>
        </w:tc>
        <w:tc>
          <w:tcPr>
            <w:tcW w:type="dxa" w:w="2484"/>
          </w:tcPr>
          <w:p>
            <w:r>
              <w:t>CLOSED — Executed Apr 21. LLY 4.0→4.5%.</w:t>
            </w:r>
          </w:p>
        </w:tc>
      </w:tr>
      <w:tr>
        <w:tc>
          <w:tcPr>
            <w:tcW w:type="dxa" w:w="2484"/>
          </w:tcPr>
          <w:p>
            <w:r>
              <w:t>INTC Q1 (Apr 23)</w:t>
            </w:r>
          </w:p>
        </w:tc>
        <w:tc>
          <w:tcPr>
            <w:tcW w:type="dxa" w:w="2484"/>
          </w:tcPr>
          <w:p>
            <w:r>
              <w:t>Beat + 18A yield improvement → enter 1.0–1.5%</w:t>
            </w:r>
          </w:p>
        </w:tc>
        <w:tc>
          <w:tcPr>
            <w:tcW w:type="dxa" w:w="2484"/>
          </w:tcPr>
          <w:p>
            <w:r>
              <w:t>Reports AFTER close today (5PM ET); options imply ±9.9%</w:t>
            </w:r>
          </w:p>
        </w:tc>
        <w:tc>
          <w:tcPr>
            <w:tcW w:type="dxa" w:w="2484"/>
          </w:tcPr>
          <w:p>
            <w:r>
              <w:t>OPEN — resolves tonight; action decision tomorrow.</w:t>
            </w:r>
          </w:p>
        </w:tc>
      </w:tr>
      <w:tr>
        <w:tc>
          <w:tcPr>
            <w:tcW w:type="dxa" w:w="2484"/>
          </w:tcPr>
          <w:p>
            <w:r>
              <w:t>ORCL entry-point add</w:t>
            </w:r>
          </w:p>
        </w:tc>
        <w:tc>
          <w:tcPr>
            <w:tcW w:type="dxa" w:w="2484"/>
          </w:tcPr>
          <w:p>
            <w:r>
              <w:t>Watch for entry → +0.5%</w:t>
            </w:r>
          </w:p>
        </w:tc>
        <w:tc>
          <w:tcPr>
            <w:tcW w:type="dxa" w:w="2484"/>
          </w:tcPr>
          <w:p>
            <w:r>
              <w:t>Already increased to 3.5% post-catalyst cluster</w:t>
            </w:r>
          </w:p>
        </w:tc>
        <w:tc>
          <w:tcPr>
            <w:tcW w:type="dxa" w:w="2484"/>
          </w:tcPr>
          <w:p>
            <w:r>
              <w:t>CLOSED — Executed Apr 21. ORCL 3.0→3.5%.</w:t>
            </w:r>
          </w:p>
        </w:tc>
      </w:tr>
    </w:tbl>
    <w:p>
      <w:pPr>
        <w:pStyle w:val="Heading1"/>
      </w:pPr>
      <w:r>
        <w:t>6. Recommended Weight Changes (today)</w:t>
      </w:r>
    </w:p>
    <w:p>
      <w:r>
        <w:rPr>
          <w:b/>
        </w:rPr>
        <w:t xml:space="preserve">NONE TODAY. </w:t>
      </w:r>
      <w:r>
        <w:t>Portfolio is fully aligned with the April-catalyst playbook: JPM 4.5%, LLY 4.5%, ORCL 3.5%, CRWD 1.5% (new) all executed Apr 21. INTC action deferred to post-earnings (Apr 24 scan). Energy re-build is on the shortlist but requires WTI &gt; $90 confirmation over 3 sessions.</w:t>
      </w:r>
    </w:p>
    <w:p>
      <w:r>
        <w:rPr>
          <w:i/>
        </w:rPr>
        <w:t>Portfolio weights total = 100.0% (verified). No re-balancing required pre-market.</w:t>
      </w:r>
    </w:p>
    <w:p>
      <w:pPr>
        <w:pStyle w:val="Heading1"/>
      </w:pPr>
      <w:r>
        <w:t>7. Full Portfolio Table — 26 Positions + Cash</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val="clear" w:color="auto" w:fill="1F4E79"/>
          </w:tcPr>
          <w:p>
            <w:r>
              <w:rPr>
                <w:b/>
                <w:color w:val="FFFFFF"/>
              </w:rPr>
              <w:t>#</w:t>
            </w:r>
          </w:p>
        </w:tc>
        <w:tc>
          <w:tcPr>
            <w:tcW w:type="dxa" w:w="2484"/>
            <w:shd w:val="clear" w:color="auto" w:fill="1F4E79"/>
          </w:tcPr>
          <w:p>
            <w:r>
              <w:rPr>
                <w:b/>
                <w:color w:val="FFFFFF"/>
              </w:rPr>
              <w:t>Ticker</w:t>
            </w:r>
          </w:p>
        </w:tc>
        <w:tc>
          <w:tcPr>
            <w:tcW w:type="dxa" w:w="2484"/>
            <w:shd w:val="clear" w:color="auto" w:fill="1F4E79"/>
          </w:tcPr>
          <w:p>
            <w:r>
              <w:rPr>
                <w:b/>
                <w:color w:val="FFFFFF"/>
              </w:rPr>
              <w:t>Weight %</w:t>
            </w:r>
          </w:p>
        </w:tc>
        <w:tc>
          <w:tcPr>
            <w:tcW w:type="dxa" w:w="2484"/>
            <w:shd w:val="clear" w:color="auto" w:fill="1F4E79"/>
          </w:tcPr>
          <w:p>
            <w:r>
              <w:rPr>
                <w:b/>
                <w:color w:val="FFFFFF"/>
              </w:rPr>
              <w:t>Sector / Category</w:t>
            </w:r>
          </w:p>
        </w:tc>
      </w:tr>
      <w:tr>
        <w:tc>
          <w:tcPr>
            <w:tcW w:type="dxa" w:w="2484"/>
          </w:tcPr>
          <w:p>
            <w:r>
              <w:t>1</w:t>
            </w:r>
          </w:p>
        </w:tc>
        <w:tc>
          <w:tcPr>
            <w:tcW w:type="dxa" w:w="2484"/>
          </w:tcPr>
          <w:p>
            <w:r>
              <w:t>NVDA</w:t>
            </w:r>
          </w:p>
        </w:tc>
        <w:tc>
          <w:tcPr>
            <w:tcW w:type="dxa" w:w="2484"/>
          </w:tcPr>
          <w:p>
            <w:r>
              <w:t>6.5%</w:t>
            </w:r>
          </w:p>
        </w:tc>
        <w:tc>
          <w:tcPr>
            <w:tcW w:type="dxa" w:w="2484"/>
          </w:tcPr>
          <w:p>
            <w:r>
              <w:t>Technology – AI Infrastructure</w:t>
            </w:r>
          </w:p>
        </w:tc>
      </w:tr>
      <w:tr>
        <w:tc>
          <w:tcPr>
            <w:tcW w:type="dxa" w:w="2484"/>
          </w:tcPr>
          <w:p>
            <w:r>
              <w:t>2</w:t>
            </w:r>
          </w:p>
        </w:tc>
        <w:tc>
          <w:tcPr>
            <w:tcW w:type="dxa" w:w="2484"/>
          </w:tcPr>
          <w:p>
            <w:r>
              <w:t>AMZN</w:t>
            </w:r>
          </w:p>
        </w:tc>
        <w:tc>
          <w:tcPr>
            <w:tcW w:type="dxa" w:w="2484"/>
          </w:tcPr>
          <w:p>
            <w:r>
              <w:t>5.5%</w:t>
            </w:r>
          </w:p>
        </w:tc>
        <w:tc>
          <w:tcPr>
            <w:tcW w:type="dxa" w:w="2484"/>
          </w:tcPr>
          <w:p>
            <w:r>
              <w:t>Technology – Cloud / E-Commerce</w:t>
            </w:r>
          </w:p>
        </w:tc>
      </w:tr>
      <w:tr>
        <w:tc>
          <w:tcPr>
            <w:tcW w:type="dxa" w:w="2484"/>
          </w:tcPr>
          <w:p>
            <w:r>
              <w:t>3</w:t>
            </w:r>
          </w:p>
        </w:tc>
        <w:tc>
          <w:tcPr>
            <w:tcW w:type="dxa" w:w="2484"/>
          </w:tcPr>
          <w:p>
            <w:r>
              <w:t>META</w:t>
            </w:r>
          </w:p>
        </w:tc>
        <w:tc>
          <w:tcPr>
            <w:tcW w:type="dxa" w:w="2484"/>
          </w:tcPr>
          <w:p>
            <w:r>
              <w:t>4.5%</w:t>
            </w:r>
          </w:p>
        </w:tc>
        <w:tc>
          <w:tcPr>
            <w:tcW w:type="dxa" w:w="2484"/>
          </w:tcPr>
          <w:p>
            <w:r>
              <w:t>Communication Services</w:t>
            </w:r>
          </w:p>
        </w:tc>
      </w:tr>
      <w:tr>
        <w:tc>
          <w:tcPr>
            <w:tcW w:type="dxa" w:w="2484"/>
          </w:tcPr>
          <w:p>
            <w:r>
              <w:t>4</w:t>
            </w:r>
          </w:p>
        </w:tc>
        <w:tc>
          <w:tcPr>
            <w:tcW w:type="dxa" w:w="2484"/>
          </w:tcPr>
          <w:p>
            <w:r>
              <w:t>LLY</w:t>
            </w:r>
          </w:p>
        </w:tc>
        <w:tc>
          <w:tcPr>
            <w:tcW w:type="dxa" w:w="2484"/>
          </w:tcPr>
          <w:p>
            <w:r>
              <w:t>4.5%</w:t>
            </w:r>
          </w:p>
        </w:tc>
        <w:tc>
          <w:tcPr>
            <w:tcW w:type="dxa" w:w="2484"/>
          </w:tcPr>
          <w:p>
            <w:r>
              <w:t>Healthcare – Pharmaceuticals</w:t>
            </w:r>
          </w:p>
        </w:tc>
      </w:tr>
      <w:tr>
        <w:tc>
          <w:tcPr>
            <w:tcW w:type="dxa" w:w="2484"/>
          </w:tcPr>
          <w:p>
            <w:r>
              <w:t>5</w:t>
            </w:r>
          </w:p>
        </w:tc>
        <w:tc>
          <w:tcPr>
            <w:tcW w:type="dxa" w:w="2484"/>
          </w:tcPr>
          <w:p>
            <w:r>
              <w:t>JPM</w:t>
            </w:r>
          </w:p>
        </w:tc>
        <w:tc>
          <w:tcPr>
            <w:tcW w:type="dxa" w:w="2484"/>
          </w:tcPr>
          <w:p>
            <w:r>
              <w:t>4.5%</w:t>
            </w:r>
          </w:p>
        </w:tc>
        <w:tc>
          <w:tcPr>
            <w:tcW w:type="dxa" w:w="2484"/>
          </w:tcPr>
          <w:p>
            <w:r>
              <w:t>Financials – Banking</w:t>
            </w:r>
          </w:p>
        </w:tc>
      </w:tr>
      <w:tr>
        <w:tc>
          <w:tcPr>
            <w:tcW w:type="dxa" w:w="2484"/>
          </w:tcPr>
          <w:p>
            <w:r>
              <w:t>6</w:t>
            </w:r>
          </w:p>
        </w:tc>
        <w:tc>
          <w:tcPr>
            <w:tcW w:type="dxa" w:w="2484"/>
          </w:tcPr>
          <w:p>
            <w:r>
              <w:t>AVGO</w:t>
            </w:r>
          </w:p>
        </w:tc>
        <w:tc>
          <w:tcPr>
            <w:tcW w:type="dxa" w:w="2484"/>
          </w:tcPr>
          <w:p>
            <w:r>
              <w:t>4.0%</w:t>
            </w:r>
          </w:p>
        </w:tc>
        <w:tc>
          <w:tcPr>
            <w:tcW w:type="dxa" w:w="2484"/>
          </w:tcPr>
          <w:p>
            <w:r>
              <w:t>Technology – Semiconductors</w:t>
            </w:r>
          </w:p>
        </w:tc>
      </w:tr>
      <w:tr>
        <w:tc>
          <w:tcPr>
            <w:tcW w:type="dxa" w:w="2484"/>
          </w:tcPr>
          <w:p>
            <w:r>
              <w:t>7</w:t>
            </w:r>
          </w:p>
        </w:tc>
        <w:tc>
          <w:tcPr>
            <w:tcW w:type="dxa" w:w="2484"/>
          </w:tcPr>
          <w:p>
            <w:r>
              <w:t>MSFT</w:t>
            </w:r>
          </w:p>
        </w:tc>
        <w:tc>
          <w:tcPr>
            <w:tcW w:type="dxa" w:w="2484"/>
          </w:tcPr>
          <w:p>
            <w:r>
              <w:t>4.0%</w:t>
            </w:r>
          </w:p>
        </w:tc>
        <w:tc>
          <w:tcPr>
            <w:tcW w:type="dxa" w:w="2484"/>
          </w:tcPr>
          <w:p>
            <w:r>
              <w:t>Technology – Enterprise Software</w:t>
            </w:r>
          </w:p>
        </w:tc>
      </w:tr>
      <w:tr>
        <w:tc>
          <w:tcPr>
            <w:tcW w:type="dxa" w:w="2484"/>
          </w:tcPr>
          <w:p>
            <w:r>
              <w:t>8</w:t>
            </w:r>
          </w:p>
        </w:tc>
        <w:tc>
          <w:tcPr>
            <w:tcW w:type="dxa" w:w="2484"/>
          </w:tcPr>
          <w:p>
            <w:r>
              <w:t>PANW</w:t>
            </w:r>
          </w:p>
        </w:tc>
        <w:tc>
          <w:tcPr>
            <w:tcW w:type="dxa" w:w="2484"/>
          </w:tcPr>
          <w:p>
            <w:r>
              <w:t>4.0%</w:t>
            </w:r>
          </w:p>
        </w:tc>
        <w:tc>
          <w:tcPr>
            <w:tcW w:type="dxa" w:w="2484"/>
          </w:tcPr>
          <w:p>
            <w:r>
              <w:t>Technology – Cybersecurity</w:t>
            </w:r>
          </w:p>
        </w:tc>
      </w:tr>
      <w:tr>
        <w:tc>
          <w:tcPr>
            <w:tcW w:type="dxa" w:w="2484"/>
          </w:tcPr>
          <w:p>
            <w:r>
              <w:t>9</w:t>
            </w:r>
          </w:p>
        </w:tc>
        <w:tc>
          <w:tcPr>
            <w:tcW w:type="dxa" w:w="2484"/>
          </w:tcPr>
          <w:p>
            <w:r>
              <w:t>QQQ</w:t>
            </w:r>
          </w:p>
        </w:tc>
        <w:tc>
          <w:tcPr>
            <w:tcW w:type="dxa" w:w="2484"/>
          </w:tcPr>
          <w:p>
            <w:r>
              <w:t>3.5%</w:t>
            </w:r>
          </w:p>
        </w:tc>
        <w:tc>
          <w:tcPr>
            <w:tcW w:type="dxa" w:w="2484"/>
          </w:tcPr>
          <w:p>
            <w:r>
              <w:t>ETF – Nasdaq-100</w:t>
            </w:r>
          </w:p>
        </w:tc>
      </w:tr>
      <w:tr>
        <w:tc>
          <w:tcPr>
            <w:tcW w:type="dxa" w:w="2484"/>
          </w:tcPr>
          <w:p>
            <w:r>
              <w:t>10</w:t>
            </w:r>
          </w:p>
        </w:tc>
        <w:tc>
          <w:tcPr>
            <w:tcW w:type="dxa" w:w="2484"/>
          </w:tcPr>
          <w:p>
            <w:r>
              <w:t>ORCL</w:t>
            </w:r>
          </w:p>
        </w:tc>
        <w:tc>
          <w:tcPr>
            <w:tcW w:type="dxa" w:w="2484"/>
          </w:tcPr>
          <w:p>
            <w:r>
              <w:t>3.5%</w:t>
            </w:r>
          </w:p>
        </w:tc>
        <w:tc>
          <w:tcPr>
            <w:tcW w:type="dxa" w:w="2484"/>
          </w:tcPr>
          <w:p>
            <w:r>
              <w:t>Technology – Cloud Database</w:t>
            </w:r>
          </w:p>
        </w:tc>
      </w:tr>
      <w:tr>
        <w:tc>
          <w:tcPr>
            <w:tcW w:type="dxa" w:w="2484"/>
          </w:tcPr>
          <w:p>
            <w:r>
              <w:t>11</w:t>
            </w:r>
          </w:p>
        </w:tc>
        <w:tc>
          <w:tcPr>
            <w:tcW w:type="dxa" w:w="2484"/>
          </w:tcPr>
          <w:p>
            <w:r>
              <w:t>GOOGL</w:t>
            </w:r>
          </w:p>
        </w:tc>
        <w:tc>
          <w:tcPr>
            <w:tcW w:type="dxa" w:w="2484"/>
          </w:tcPr>
          <w:p>
            <w:r>
              <w:t>3.0%</w:t>
            </w:r>
          </w:p>
        </w:tc>
        <w:tc>
          <w:tcPr>
            <w:tcW w:type="dxa" w:w="2484"/>
          </w:tcPr>
          <w:p>
            <w:r>
              <w:t>Technology – Search / Cloud</w:t>
            </w:r>
          </w:p>
        </w:tc>
      </w:tr>
      <w:tr>
        <w:tc>
          <w:tcPr>
            <w:tcW w:type="dxa" w:w="2484"/>
          </w:tcPr>
          <w:p>
            <w:r>
              <w:t>12</w:t>
            </w:r>
          </w:p>
        </w:tc>
        <w:tc>
          <w:tcPr>
            <w:tcW w:type="dxa" w:w="2484"/>
          </w:tcPr>
          <w:p>
            <w:r>
              <w:t>PLTR</w:t>
            </w:r>
          </w:p>
        </w:tc>
        <w:tc>
          <w:tcPr>
            <w:tcW w:type="dxa" w:w="2484"/>
          </w:tcPr>
          <w:p>
            <w:r>
              <w:t>3.0%</w:t>
            </w:r>
          </w:p>
        </w:tc>
        <w:tc>
          <w:tcPr>
            <w:tcW w:type="dxa" w:w="2484"/>
          </w:tcPr>
          <w:p>
            <w:r>
              <w:t>Technology – AI Software</w:t>
            </w:r>
          </w:p>
        </w:tc>
      </w:tr>
      <w:tr>
        <w:tc>
          <w:tcPr>
            <w:tcW w:type="dxa" w:w="2484"/>
          </w:tcPr>
          <w:p>
            <w:r>
              <w:t>13</w:t>
            </w:r>
          </w:p>
        </w:tc>
        <w:tc>
          <w:tcPr>
            <w:tcW w:type="dxa" w:w="2484"/>
          </w:tcPr>
          <w:p>
            <w:r>
              <w:t>UNH</w:t>
            </w:r>
          </w:p>
        </w:tc>
        <w:tc>
          <w:tcPr>
            <w:tcW w:type="dxa" w:w="2484"/>
          </w:tcPr>
          <w:p>
            <w:r>
              <w:t>3.0%</w:t>
            </w:r>
          </w:p>
        </w:tc>
        <w:tc>
          <w:tcPr>
            <w:tcW w:type="dxa" w:w="2484"/>
          </w:tcPr>
          <w:p>
            <w:r>
              <w:t>Healthcare – Managed Care</w:t>
            </w:r>
          </w:p>
        </w:tc>
      </w:tr>
      <w:tr>
        <w:tc>
          <w:tcPr>
            <w:tcW w:type="dxa" w:w="2484"/>
          </w:tcPr>
          <w:p>
            <w:r>
              <w:t>14</w:t>
            </w:r>
          </w:p>
        </w:tc>
        <w:tc>
          <w:tcPr>
            <w:tcW w:type="dxa" w:w="2484"/>
          </w:tcPr>
          <w:p>
            <w:r>
              <w:t>V</w:t>
            </w:r>
          </w:p>
        </w:tc>
        <w:tc>
          <w:tcPr>
            <w:tcW w:type="dxa" w:w="2484"/>
          </w:tcPr>
          <w:p>
            <w:r>
              <w:t>3.0%</w:t>
            </w:r>
          </w:p>
        </w:tc>
        <w:tc>
          <w:tcPr>
            <w:tcW w:type="dxa" w:w="2484"/>
          </w:tcPr>
          <w:p>
            <w:r>
              <w:t>Financials – Payments</w:t>
            </w:r>
          </w:p>
        </w:tc>
      </w:tr>
      <w:tr>
        <w:tc>
          <w:tcPr>
            <w:tcW w:type="dxa" w:w="2484"/>
          </w:tcPr>
          <w:p>
            <w:r>
              <w:t>15</w:t>
            </w:r>
          </w:p>
        </w:tc>
        <w:tc>
          <w:tcPr>
            <w:tcW w:type="dxa" w:w="2484"/>
          </w:tcPr>
          <w:p>
            <w:r>
              <w:t>TSM</w:t>
            </w:r>
          </w:p>
        </w:tc>
        <w:tc>
          <w:tcPr>
            <w:tcW w:type="dxa" w:w="2484"/>
          </w:tcPr>
          <w:p>
            <w:r>
              <w:t>2.5%</w:t>
            </w:r>
          </w:p>
        </w:tc>
        <w:tc>
          <w:tcPr>
            <w:tcW w:type="dxa" w:w="2484"/>
          </w:tcPr>
          <w:p>
            <w:r>
              <w:t>Technology – Foundry</w:t>
            </w:r>
          </w:p>
        </w:tc>
      </w:tr>
      <w:tr>
        <w:tc>
          <w:tcPr>
            <w:tcW w:type="dxa" w:w="2484"/>
          </w:tcPr>
          <w:p>
            <w:r>
              <w:t>16</w:t>
            </w:r>
          </w:p>
        </w:tc>
        <w:tc>
          <w:tcPr>
            <w:tcW w:type="dxa" w:w="2484"/>
          </w:tcPr>
          <w:p>
            <w:r>
              <w:t>VUG</w:t>
            </w:r>
          </w:p>
        </w:tc>
        <w:tc>
          <w:tcPr>
            <w:tcW w:type="dxa" w:w="2484"/>
          </w:tcPr>
          <w:p>
            <w:r>
              <w:t>2.5%</w:t>
            </w:r>
          </w:p>
        </w:tc>
        <w:tc>
          <w:tcPr>
            <w:tcW w:type="dxa" w:w="2484"/>
          </w:tcPr>
          <w:p>
            <w:r>
              <w:t>ETF – Large-Cap Growth</w:t>
            </w:r>
          </w:p>
        </w:tc>
      </w:tr>
      <w:tr>
        <w:tc>
          <w:tcPr>
            <w:tcW w:type="dxa" w:w="2484"/>
          </w:tcPr>
          <w:p>
            <w:r>
              <w:t>17</w:t>
            </w:r>
          </w:p>
        </w:tc>
        <w:tc>
          <w:tcPr>
            <w:tcW w:type="dxa" w:w="2484"/>
          </w:tcPr>
          <w:p>
            <w:r>
              <w:t>SCHD</w:t>
            </w:r>
          </w:p>
        </w:tc>
        <w:tc>
          <w:tcPr>
            <w:tcW w:type="dxa" w:w="2484"/>
          </w:tcPr>
          <w:p>
            <w:r>
              <w:t>2.5%</w:t>
            </w:r>
          </w:p>
        </w:tc>
        <w:tc>
          <w:tcPr>
            <w:tcW w:type="dxa" w:w="2484"/>
          </w:tcPr>
          <w:p>
            <w:r>
              <w:t>ETF – Dividend / Income</w:t>
            </w:r>
          </w:p>
        </w:tc>
      </w:tr>
      <w:tr>
        <w:tc>
          <w:tcPr>
            <w:tcW w:type="dxa" w:w="2484"/>
          </w:tcPr>
          <w:p>
            <w:r>
              <w:t>18</w:t>
            </w:r>
          </w:p>
        </w:tc>
        <w:tc>
          <w:tcPr>
            <w:tcW w:type="dxa" w:w="2484"/>
          </w:tcPr>
          <w:p>
            <w:r>
              <w:t>MU</w:t>
            </w:r>
          </w:p>
        </w:tc>
        <w:tc>
          <w:tcPr>
            <w:tcW w:type="dxa" w:w="2484"/>
          </w:tcPr>
          <w:p>
            <w:r>
              <w:t>2.5%</w:t>
            </w:r>
          </w:p>
        </w:tc>
        <w:tc>
          <w:tcPr>
            <w:tcW w:type="dxa" w:w="2484"/>
          </w:tcPr>
          <w:p>
            <w:r>
              <w:t>Technology – Memory</w:t>
            </w:r>
          </w:p>
        </w:tc>
      </w:tr>
      <w:tr>
        <w:tc>
          <w:tcPr>
            <w:tcW w:type="dxa" w:w="2484"/>
          </w:tcPr>
          <w:p>
            <w:r>
              <w:t>19</w:t>
            </w:r>
          </w:p>
        </w:tc>
        <w:tc>
          <w:tcPr>
            <w:tcW w:type="dxa" w:w="2484"/>
          </w:tcPr>
          <w:p>
            <w:r>
              <w:t>COST</w:t>
            </w:r>
          </w:p>
        </w:tc>
        <w:tc>
          <w:tcPr>
            <w:tcW w:type="dxa" w:w="2484"/>
          </w:tcPr>
          <w:p>
            <w:r>
              <w:t>2.5%</w:t>
            </w:r>
          </w:p>
        </w:tc>
        <w:tc>
          <w:tcPr>
            <w:tcW w:type="dxa" w:w="2484"/>
          </w:tcPr>
          <w:p>
            <w:r>
              <w:t>Consumer Staples</w:t>
            </w:r>
          </w:p>
        </w:tc>
      </w:tr>
      <w:tr>
        <w:tc>
          <w:tcPr>
            <w:tcW w:type="dxa" w:w="2484"/>
          </w:tcPr>
          <w:p>
            <w:r>
              <w:t>20</w:t>
            </w:r>
          </w:p>
        </w:tc>
        <w:tc>
          <w:tcPr>
            <w:tcW w:type="dxa" w:w="2484"/>
          </w:tcPr>
          <w:p>
            <w:r>
              <w:t>XOM</w:t>
            </w:r>
          </w:p>
        </w:tc>
        <w:tc>
          <w:tcPr>
            <w:tcW w:type="dxa" w:w="2484"/>
          </w:tcPr>
          <w:p>
            <w:r>
              <w:t>2.5%</w:t>
            </w:r>
          </w:p>
        </w:tc>
        <w:tc>
          <w:tcPr>
            <w:tcW w:type="dxa" w:w="2484"/>
          </w:tcPr>
          <w:p>
            <w:r>
              <w:t>Energy – Integrated Oil &amp; Gas</w:t>
            </w:r>
          </w:p>
        </w:tc>
      </w:tr>
      <w:tr>
        <w:tc>
          <w:tcPr>
            <w:tcW w:type="dxa" w:w="2484"/>
          </w:tcPr>
          <w:p>
            <w:r>
              <w:t>21</w:t>
            </w:r>
          </w:p>
        </w:tc>
        <w:tc>
          <w:tcPr>
            <w:tcW w:type="dxa" w:w="2484"/>
          </w:tcPr>
          <w:p>
            <w:r>
              <w:t>DASH</w:t>
            </w:r>
          </w:p>
        </w:tc>
        <w:tc>
          <w:tcPr>
            <w:tcW w:type="dxa" w:w="2484"/>
          </w:tcPr>
          <w:p>
            <w:r>
              <w:t>2.0%</w:t>
            </w:r>
          </w:p>
        </w:tc>
        <w:tc>
          <w:tcPr>
            <w:tcW w:type="dxa" w:w="2484"/>
          </w:tcPr>
          <w:p>
            <w:r>
              <w:t>Consumer Discretionary</w:t>
            </w:r>
          </w:p>
        </w:tc>
      </w:tr>
      <w:tr>
        <w:tc>
          <w:tcPr>
            <w:tcW w:type="dxa" w:w="2484"/>
          </w:tcPr>
          <w:p>
            <w:r>
              <w:t>22</w:t>
            </w:r>
          </w:p>
        </w:tc>
        <w:tc>
          <w:tcPr>
            <w:tcW w:type="dxa" w:w="2484"/>
          </w:tcPr>
          <w:p>
            <w:r>
              <w:t>NEE</w:t>
            </w:r>
          </w:p>
        </w:tc>
        <w:tc>
          <w:tcPr>
            <w:tcW w:type="dxa" w:w="2484"/>
          </w:tcPr>
          <w:p>
            <w:r>
              <w:t>2.0%</w:t>
            </w:r>
          </w:p>
        </w:tc>
        <w:tc>
          <w:tcPr>
            <w:tcW w:type="dxa" w:w="2484"/>
          </w:tcPr>
          <w:p>
            <w:r>
              <w:t>Utilities – Renewables</w:t>
            </w:r>
          </w:p>
        </w:tc>
      </w:tr>
      <w:tr>
        <w:tc>
          <w:tcPr>
            <w:tcW w:type="dxa" w:w="2484"/>
          </w:tcPr>
          <w:p>
            <w:r>
              <w:t>23</w:t>
            </w:r>
          </w:p>
        </w:tc>
        <w:tc>
          <w:tcPr>
            <w:tcW w:type="dxa" w:w="2484"/>
          </w:tcPr>
          <w:p>
            <w:r>
              <w:t>EOG</w:t>
            </w:r>
          </w:p>
        </w:tc>
        <w:tc>
          <w:tcPr>
            <w:tcW w:type="dxa" w:w="2484"/>
          </w:tcPr>
          <w:p>
            <w:r>
              <w:t>2.0%</w:t>
            </w:r>
          </w:p>
        </w:tc>
        <w:tc>
          <w:tcPr>
            <w:tcW w:type="dxa" w:w="2484"/>
          </w:tcPr>
          <w:p>
            <w:r>
              <w:t>Energy – E&amp;P</w:t>
            </w:r>
          </w:p>
        </w:tc>
      </w:tr>
      <w:tr>
        <w:tc>
          <w:tcPr>
            <w:tcW w:type="dxa" w:w="2484"/>
          </w:tcPr>
          <w:p>
            <w:r>
              <w:t>24</w:t>
            </w:r>
          </w:p>
        </w:tc>
        <w:tc>
          <w:tcPr>
            <w:tcW w:type="dxa" w:w="2484"/>
          </w:tcPr>
          <w:p>
            <w:r>
              <w:t>ABBV</w:t>
            </w:r>
          </w:p>
        </w:tc>
        <w:tc>
          <w:tcPr>
            <w:tcW w:type="dxa" w:w="2484"/>
          </w:tcPr>
          <w:p>
            <w:r>
              <w:t>1.5%</w:t>
            </w:r>
          </w:p>
        </w:tc>
        <w:tc>
          <w:tcPr>
            <w:tcW w:type="dxa" w:w="2484"/>
          </w:tcPr>
          <w:p>
            <w:r>
              <w:t>Healthcare – Biotech / Pharma</w:t>
            </w:r>
          </w:p>
        </w:tc>
      </w:tr>
      <w:tr>
        <w:tc>
          <w:tcPr>
            <w:tcW w:type="dxa" w:w="2484"/>
          </w:tcPr>
          <w:p>
            <w:r>
              <w:t>25</w:t>
            </w:r>
          </w:p>
        </w:tc>
        <w:tc>
          <w:tcPr>
            <w:tcW w:type="dxa" w:w="2484"/>
          </w:tcPr>
          <w:p>
            <w:r>
              <w:t>NFLX</w:t>
            </w:r>
          </w:p>
        </w:tc>
        <w:tc>
          <w:tcPr>
            <w:tcW w:type="dxa" w:w="2484"/>
          </w:tcPr>
          <w:p>
            <w:r>
              <w:t>1.5%</w:t>
            </w:r>
          </w:p>
        </w:tc>
        <w:tc>
          <w:tcPr>
            <w:tcW w:type="dxa" w:w="2484"/>
          </w:tcPr>
          <w:p>
            <w:r>
              <w:t>Communication Services</w:t>
            </w:r>
          </w:p>
        </w:tc>
      </w:tr>
      <w:tr>
        <w:tc>
          <w:tcPr>
            <w:tcW w:type="dxa" w:w="2484"/>
          </w:tcPr>
          <w:p>
            <w:r>
              <w:t>26</w:t>
            </w:r>
          </w:p>
        </w:tc>
        <w:tc>
          <w:tcPr>
            <w:tcW w:type="dxa" w:w="2484"/>
          </w:tcPr>
          <w:p>
            <w:r>
              <w:t>CRWD</w:t>
            </w:r>
          </w:p>
        </w:tc>
        <w:tc>
          <w:tcPr>
            <w:tcW w:type="dxa" w:w="2484"/>
          </w:tcPr>
          <w:p>
            <w:r>
              <w:t>1.5%</w:t>
            </w:r>
          </w:p>
        </w:tc>
        <w:tc>
          <w:tcPr>
            <w:tcW w:type="dxa" w:w="2484"/>
          </w:tcPr>
          <w:p>
            <w:r>
              <w:t>Technology – Cybersecurity (NEW Apr 21)</w:t>
            </w:r>
          </w:p>
        </w:tc>
      </w:tr>
      <w:tr>
        <w:tc>
          <w:tcPr>
            <w:tcW w:type="dxa" w:w="2484"/>
          </w:tcPr>
          <w:p>
            <w:r>
              <w:t>—</w:t>
            </w:r>
          </w:p>
        </w:tc>
        <w:tc>
          <w:tcPr>
            <w:tcW w:type="dxa" w:w="2484"/>
          </w:tcPr>
          <w:p>
            <w:r>
              <w:t>CASH</w:t>
            </w:r>
          </w:p>
        </w:tc>
        <w:tc>
          <w:tcPr>
            <w:tcW w:type="dxa" w:w="2484"/>
          </w:tcPr>
          <w:p>
            <w:r>
              <w:t>18.0%</w:t>
            </w:r>
          </w:p>
        </w:tc>
        <w:tc>
          <w:tcPr>
            <w:tcW w:type="dxa" w:w="2484"/>
          </w:tcPr>
          <w:p>
            <w:r>
              <w:t>Cash &amp; Equivalents</w:t>
            </w:r>
          </w:p>
        </w:tc>
      </w:tr>
      <w:tr>
        <w:tc>
          <w:tcPr>
            <w:tcW w:type="dxa" w:w="2484"/>
            <w:shd w:val="clear" w:color="auto" w:fill="E7E6E6"/>
          </w:tcPr>
          <w:p>
            <w:r>
              <w:rPr>
                <w:b/>
              </w:rPr>
            </w:r>
          </w:p>
        </w:tc>
        <w:tc>
          <w:tcPr>
            <w:tcW w:type="dxa" w:w="2484"/>
            <w:shd w:val="clear" w:color="auto" w:fill="E7E6E6"/>
          </w:tcPr>
          <w:p>
            <w:r>
              <w:rPr>
                <w:b/>
              </w:rPr>
              <w:t>TOTAL</w:t>
            </w:r>
          </w:p>
        </w:tc>
        <w:tc>
          <w:tcPr>
            <w:tcW w:type="dxa" w:w="2484"/>
            <w:shd w:val="clear" w:color="auto" w:fill="E7E6E6"/>
          </w:tcPr>
          <w:p>
            <w:r>
              <w:rPr>
                <w:b/>
              </w:rPr>
              <w:t>100.0%</w:t>
            </w:r>
          </w:p>
        </w:tc>
        <w:tc>
          <w:tcPr>
            <w:tcW w:type="dxa" w:w="2484"/>
            <w:shd w:val="clear" w:color="auto" w:fill="E7E6E6"/>
          </w:tcPr>
          <w:p>
            <w:r>
              <w:rPr>
                <w:b/>
              </w:rPr>
              <w:t>100.0% integrity check</w:t>
            </w:r>
          </w:p>
        </w:tc>
      </w:tr>
    </w:tbl>
    <w:p/>
    <w:p>
      <w:r>
        <w:rPr>
          <w:b/>
          <w:color w:val="0B6E3D"/>
        </w:rPr>
        <w:t>Portfolio sum verified: 100.0% = 100.0% ✓</w:t>
      </w:r>
    </w:p>
    <w:p>
      <w:pPr>
        <w:pStyle w:val="Heading1"/>
      </w:pPr>
      <w:r>
        <w:t>8. Sources</w:t>
      </w:r>
    </w:p>
    <w:p>
      <w:pPr>
        <w:pStyle w:val="ListBullet"/>
      </w:pPr>
      <w:r>
        <w:rPr>
          <w:b/>
        </w:rPr>
        <w:t xml:space="preserve">S&amp;P 500 / Nasdaq / Market: </w:t>
      </w:r>
      <w:r>
        <w:t>Yahoo Finance, Trading Economics, CNBC (Apr 22–23, 2026)</w:t>
      </w:r>
    </w:p>
    <w:p>
      <w:pPr>
        <w:pStyle w:val="ListBullet"/>
      </w:pPr>
      <w:r>
        <w:rPr>
          <w:b/>
        </w:rPr>
        <w:t xml:space="preserve">VIX: </w:t>
      </w:r>
      <w:r>
        <w:t>Yahoo Finance ^VIX quote (Apr 23, 2026)</w:t>
      </w:r>
    </w:p>
    <w:p>
      <w:pPr>
        <w:pStyle w:val="ListBullet"/>
      </w:pPr>
      <w:r>
        <w:rPr>
          <w:b/>
        </w:rPr>
        <w:t xml:space="preserve">WTI / Brent / Iran: </w:t>
      </w:r>
      <w:r>
        <w:t>CNBC — 'Oil price: WTI, Brent, Iran ceasefire extension clouds outlook' (Apr 22–23, 2026); Fortune (Apr 22, 2026)</w:t>
      </w:r>
    </w:p>
    <w:p>
      <w:pPr>
        <w:pStyle w:val="ListBullet"/>
      </w:pPr>
      <w:r>
        <w:rPr>
          <w:b/>
        </w:rPr>
        <w:t xml:space="preserve">Fed / FOMC: </w:t>
      </w:r>
      <w:r>
        <w:t>Federal Reserve FOMC statement (Mar 18, 2026); Yahoo Live Fed Updates; Axios (Apr 8, 2026)</w:t>
      </w:r>
    </w:p>
    <w:p>
      <w:pPr>
        <w:pStyle w:val="ListBullet"/>
      </w:pPr>
      <w:r>
        <w:rPr>
          <w:b/>
        </w:rPr>
        <w:t xml:space="preserve">INTC earnings preview: </w:t>
      </w:r>
      <w:r>
        <w:t>Benzinga, TipRanks, TradingKey, Blockonomi — Q1 2026 preview (Apr 21–22, 2026)</w:t>
      </w:r>
    </w:p>
    <w:p>
      <w:pPr>
        <w:pStyle w:val="ListBullet"/>
      </w:pPr>
      <w:r>
        <w:rPr>
          <w:b/>
        </w:rPr>
        <w:t xml:space="preserve">NEE earnings preview: </w:t>
      </w:r>
      <w:r>
        <w:t>StockTitan, Zacks, NextEra IR (Apr 9–22, 2026)</w:t>
      </w:r>
    </w:p>
    <w:p>
      <w:pPr>
        <w:pStyle w:val="ListBullet"/>
      </w:pPr>
      <w:r>
        <w:rPr>
          <w:b/>
        </w:rPr>
        <w:t xml:space="preserve">LLY news: </w:t>
      </w:r>
      <w:r>
        <w:t>CNBC, Motley Fool, Seeking Alpha (Apr 15–22, 2026)</w:t>
      </w:r>
    </w:p>
    <w:p>
      <w:pPr>
        <w:pStyle w:val="ListBullet"/>
      </w:pPr>
      <w:r>
        <w:rPr>
          <w:b/>
        </w:rPr>
        <w:t xml:space="preserve">META / GOOGL: </w:t>
      </w:r>
      <w:r>
        <w:t>Yahoo Finance, Motley Fool, Meyka (Apr 22–23, 2026)</w:t>
      </w:r>
    </w:p>
    <w:p>
      <w:pPr>
        <w:pStyle w:val="ListBullet"/>
      </w:pPr>
      <w:r>
        <w:rPr>
          <w:b/>
        </w:rPr>
        <w:t xml:space="preserve">AMZN / MSFT earnings: </w:t>
      </w:r>
      <w:r>
        <w:t>Microsoft IR, GuruFocus, IndexBox (Apr 2026)</w:t>
      </w:r>
    </w:p>
    <w:p>
      <w:pPr>
        <w:pStyle w:val="ListBullet"/>
      </w:pPr>
      <w:r>
        <w:rPr>
          <w:b/>
        </w:rPr>
        <w:t xml:space="preserve">NVDA / Vast Data: </w:t>
      </w:r>
      <w:r>
        <w:t>CoinCentral, Yahoo (Apr 22–23, 2026)</w:t>
      </w:r>
    </w:p>
    <w:p>
      <w:pPr>
        <w:pStyle w:val="ListBullet"/>
      </w:pPr>
      <w:r>
        <w:rPr>
          <w:b/>
        </w:rPr>
        <w:t xml:space="preserve">AVGO / TSM / MU: </w:t>
      </w:r>
      <w:r>
        <w:t>TipRanks, MarketBeat, Investing.com (Apr 2026)</w:t>
      </w:r>
    </w:p>
    <w:p>
      <w:pPr>
        <w:pStyle w:val="ListBullet"/>
      </w:pPr>
      <w:r>
        <w:rPr>
          <w:b/>
        </w:rPr>
        <w:t xml:space="preserve">CRWD / PANW / Project Glasswing: </w:t>
      </w:r>
      <w:r>
        <w:t>Seeking Alpha, TipRanks, Motley Fool (Apr 15, 2026)</w:t>
      </w:r>
    </w:p>
    <w:p>
      <w:pPr>
        <w:pStyle w:val="ListBullet"/>
      </w:pPr>
      <w:r>
        <w:rPr>
          <w:b/>
        </w:rPr>
        <w:t xml:space="preserve">JPM Q1 earnings: </w:t>
      </w:r>
      <w:r>
        <w:t>CNBC, Motley Fool earnings transcript (Apr 14, 2026)</w:t>
      </w:r>
    </w:p>
    <w:p>
      <w:pPr>
        <w:pStyle w:val="ListBullet"/>
      </w:pPr>
      <w:r>
        <w:rPr>
          <w:b/>
        </w:rPr>
        <w:t xml:space="preserve">V / Visa: </w:t>
      </w:r>
      <w:r>
        <w:t>Investing.com — JPMorgan fintech note (Apr 2026)</w:t>
      </w:r>
    </w:p>
    <w:p>
      <w:pPr>
        <w:pStyle w:val="ListBullet"/>
      </w:pPr>
      <w:r>
        <w:rPr>
          <w:b/>
        </w:rPr>
        <w:t xml:space="preserve">PLTR / ORCL: </w:t>
      </w:r>
      <w:r>
        <w:t>24/7 Wall St, Yahoo, Tickeron (Apr 6, 2026)</w:t>
      </w:r>
    </w:p>
    <w:p>
      <w:pPr>
        <w:pStyle w:val="ListBullet"/>
      </w:pPr>
      <w:r>
        <w:rPr>
          <w:b/>
        </w:rPr>
        <w:t xml:space="preserve">NFLX Q1 earnings: </w:t>
      </w:r>
      <w:r>
        <w:t>CNBC (Apr 16, 2026)</w:t>
      </w:r>
    </w:p>
    <w:p>
      <w:pPr>
        <w:pStyle w:val="ListBullet"/>
      </w:pPr>
      <w:r>
        <w:rPr>
          <w:b/>
        </w:rPr>
        <w:t xml:space="preserve">ARM / SPOT / GS: </w:t>
      </w:r>
      <w:r>
        <w:t>Stocktwits, Yahoo, Investing.com (Dec 2025–Jan 2026)</w:t>
      </w:r>
    </w:p>
    <w:p/>
    <w:p>
      <w:r>
        <w:rPr>
          <w:i/>
          <w:color w:val="777777"/>
          <w:sz w:val="16"/>
        </w:rPr>
        <w:t>DISCLAIMER: Automated pre-market scan output. All prices, yields, and weights approximate and sourced from public financial media as of the timestamp in the Sources section. Past performance is not indicative of future results. This is not investment advice.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