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6"/>
        </w:rPr>
        <w:t>DAILY PRE-MARKET PORTFOLIO REPORT</w:t>
      </w:r>
    </w:p>
    <w:p>
      <w:pPr>
        <w:jc w:val="center"/>
      </w:pPr>
      <w:r>
        <w:rPr>
          <w:i/>
          <w:sz w:val="24"/>
        </w:rPr>
        <w:t>Long-Term Growth Portfolio  |  April 27, 2026  |  Pivotal Earnings &amp; FOMC Week</w:t>
      </w:r>
    </w:p>
    <w:p/>
    <w:p>
      <w:pPr>
        <w:pStyle w:val="Heading1"/>
      </w:pPr>
      <w:r>
        <w:rPr>
          <w:color w:val="1F3A5F"/>
        </w:rPr>
        <w:t>1. Market Snapshot</w:t>
      </w:r>
    </w:p>
    <w:tbl>
      <w:tblPr>
        <w:tblStyle w:val="LightGrid-Accent1"/>
        <w:tblW w:type="auto" w:w="0"/>
        <w:tblLook w:firstColumn="1" w:firstRow="1" w:lastColumn="0" w:lastRow="0" w:noHBand="0" w:noVBand="1" w:val="04A0"/>
      </w:tblPr>
      <w:tblGrid>
        <w:gridCol w:w="5040"/>
        <w:gridCol w:w="5040"/>
      </w:tblGrid>
      <w:tr>
        <w:tc>
          <w:tcPr>
            <w:tcW w:type="dxa" w:w="3312"/>
            <w:shd w:val="clear" w:color="auto" w:fill="1F3A5F"/>
          </w:tcPr>
          <w:p>
            <w:r>
              <w:rPr>
                <w:b/>
                <w:color w:val="FFFFFF"/>
              </w:rPr>
              <w:t>Index / Indicator</w:t>
            </w:r>
          </w:p>
        </w:tc>
        <w:tc>
          <w:tcPr>
            <w:tcW w:type="dxa" w:w="6768"/>
            <w:shd w:val="clear" w:color="auto" w:fill="1F3A5F"/>
          </w:tcPr>
          <w:p>
            <w:r>
              <w:rPr>
                <w:b/>
                <w:color w:val="FFFFFF"/>
              </w:rPr>
              <w:t>Level / Change (Apr 27 intraday)</w:t>
            </w:r>
          </w:p>
        </w:tc>
      </w:tr>
      <w:tr>
        <w:tc>
          <w:tcPr>
            <w:tcW w:type="dxa" w:w="3312"/>
          </w:tcPr>
          <w:p>
            <w:r>
              <w:t>S&amp;P 500</w:t>
            </w:r>
          </w:p>
        </w:tc>
        <w:tc>
          <w:tcPr>
            <w:tcW w:type="dxa" w:w="6768"/>
          </w:tcPr>
          <w:p>
            <w:r>
              <w:t>≈ 7,148  (+0.14%) — capped by oil and MSFT-OpenAI news</w:t>
            </w:r>
          </w:p>
        </w:tc>
      </w:tr>
      <w:tr>
        <w:tc>
          <w:tcPr>
            <w:tcW w:type="dxa" w:w="3312"/>
          </w:tcPr>
          <w:p>
            <w:r>
              <w:t>Nasdaq Composite</w:t>
            </w:r>
          </w:p>
        </w:tc>
        <w:tc>
          <w:tcPr>
            <w:tcW w:type="dxa" w:w="6768"/>
          </w:tcPr>
          <w:p>
            <w:r>
              <w:t>+0.19% — wobble; chip strength offsets MSFT</w:t>
            </w:r>
          </w:p>
        </w:tc>
      </w:tr>
      <w:tr>
        <w:tc>
          <w:tcPr>
            <w:tcW w:type="dxa" w:w="3312"/>
          </w:tcPr>
          <w:p>
            <w:r>
              <w:t>Dow Jones Industrial Avg.</w:t>
            </w:r>
          </w:p>
        </w:tc>
        <w:tc>
          <w:tcPr>
            <w:tcW w:type="dxa" w:w="6768"/>
          </w:tcPr>
          <w:p>
            <w:r>
              <w:t>Lower; capped by oil-driven discretionary weakness</w:t>
            </w:r>
          </w:p>
        </w:tc>
      </w:tr>
      <w:tr>
        <w:tc>
          <w:tcPr>
            <w:tcW w:type="dxa" w:w="3312"/>
          </w:tcPr>
          <w:p>
            <w:r>
              <w:t>VIX</w:t>
            </w:r>
          </w:p>
        </w:tc>
        <w:tc>
          <w:tcPr>
            <w:tcW w:type="dxa" w:w="6768"/>
          </w:tcPr>
          <w:p>
            <w:r>
              <w:t>18.51  (−1.07%) — well below 30 defensive trigger</w:t>
            </w:r>
          </w:p>
        </w:tc>
      </w:tr>
      <w:tr>
        <w:tc>
          <w:tcPr>
            <w:tcW w:type="dxa" w:w="3312"/>
          </w:tcPr>
          <w:p>
            <w:r>
              <w:t>10-Year Treasury Yield</w:t>
            </w:r>
          </w:p>
        </w:tc>
        <w:tc>
          <w:tcPr>
            <w:tcW w:type="dxa" w:w="6768"/>
          </w:tcPr>
          <w:p>
            <w:r>
              <w:t>≈ 4.31%</w:t>
            </w:r>
          </w:p>
        </w:tc>
      </w:tr>
    </w:tbl>
    <w:p>
      <w:r>
        <w:rPr>
          <w:b w:val="0"/>
          <w:sz w:val="20"/>
        </w:rPr>
        <w:t>WTI Crude:  ≈ $96.49 / bbl (+2.21% on day; intraday &gt;$97); Brent &gt;$107. Strait of Hormuz remains effectively closed; Iran proposal floated through Pakistani mediators but Trump scrapped envoy mission Saturday — peace odds receding.</w:t>
      </w:r>
    </w:p>
    <w:p>
      <w:r>
        <w:rPr>
          <w:b w:val="0"/>
          <w:sz w:val="20"/>
        </w:rPr>
        <w:t>Headline drivers:  (1) Microsoft–OpenAI exclusivity ends — partnership restructured to non-exclusive; MSFT can no longer collect OpenAI revenue share, but retains primary cloud status through 2032 and OpenAI IP license through 2032. (2) Iran/Hormuz war enters week 9 with no peace deal in sight. (3) Mega-cap earnings week: V (Apr 28), MSFT/META/GOOGL/AMZN (Apr 29 AMC), AAPL/ABBV/LLY (Apr 30), XOM (May 1). (4) FOMC Apr 28-29 — 94% odds of HOLD at 3.50–3.75%; this could be Powell's final press conference (Warsh nominated successor).</w:t>
      </w:r>
    </w:p>
    <w:p>
      <w:pPr>
        <w:pStyle w:val="Heading1"/>
      </w:pPr>
      <w:r>
        <w:rPr>
          <w:color w:val="1F3A5F"/>
        </w:rPr>
        <w:t>2. Scan 1 — Holdings Review</w:t>
      </w:r>
    </w:p>
    <w:p>
      <w:r>
        <w:rPr>
          <w:b w:val="0"/>
          <w:sz w:val="20"/>
        </w:rPr>
        <w:t>Top-of-mind across the 27 holdings on a tape framed by oil, the MSFT-OpenAI realignment, mega-cap earnings, and the FOMC.</w:t>
      </w:r>
    </w:p>
    <w:tbl>
      <w:tblPr>
        <w:tblStyle w:val="LightGrid-Accent1"/>
        <w:tblW w:type="auto" w:w="0"/>
        <w:tblLook w:firstColumn="1" w:firstRow="1" w:lastColumn="0" w:lastRow="0" w:noHBand="0" w:noVBand="1" w:val="04A0"/>
      </w:tblPr>
      <w:tblGrid>
        <w:gridCol w:w="2520"/>
        <w:gridCol w:w="2520"/>
        <w:gridCol w:w="2520"/>
        <w:gridCol w:w="2520"/>
      </w:tblGrid>
      <w:tr>
        <w:tc>
          <w:tcPr>
            <w:tcW w:type="dxa" w:w="1008"/>
            <w:shd w:val="clear" w:color="auto" w:fill="1F3A5F"/>
          </w:tcPr>
          <w:p>
            <w:r>
              <w:rPr>
                <w:b/>
                <w:color w:val="FFFFFF"/>
                <w:sz w:val="18"/>
              </w:rPr>
              <w:t>Ticker</w:t>
            </w:r>
          </w:p>
        </w:tc>
        <w:tc>
          <w:tcPr>
            <w:tcW w:type="dxa" w:w="6192"/>
            <w:shd w:val="clear" w:color="auto" w:fill="1F3A5F"/>
          </w:tcPr>
          <w:p>
            <w:r>
              <w:rPr>
                <w:b/>
                <w:color w:val="FFFFFF"/>
                <w:sz w:val="18"/>
              </w:rPr>
              <w:t>Headline / Catalyst</w:t>
            </w:r>
          </w:p>
        </w:tc>
        <w:tc>
          <w:tcPr>
            <w:tcW w:type="dxa" w:w="1584"/>
            <w:shd w:val="clear" w:color="auto" w:fill="1F3A5F"/>
          </w:tcPr>
          <w:p>
            <w:r>
              <w:rPr>
                <w:b/>
                <w:color w:val="FFFFFF"/>
                <w:sz w:val="18"/>
              </w:rPr>
              <w:t>Impact</w:t>
            </w:r>
          </w:p>
        </w:tc>
        <w:tc>
          <w:tcPr>
            <w:tcW w:type="dxa" w:w="1296"/>
            <w:shd w:val="clear" w:color="auto" w:fill="1F3A5F"/>
          </w:tcPr>
          <w:p>
            <w:r>
              <w:rPr>
                <w:b/>
                <w:color w:val="FFFFFF"/>
                <w:sz w:val="18"/>
              </w:rPr>
              <w:t>Action</w:t>
            </w:r>
          </w:p>
        </w:tc>
      </w:tr>
      <w:tr>
        <w:tc>
          <w:tcPr>
            <w:tcW w:type="dxa" w:w="1008"/>
          </w:tcPr>
          <w:p>
            <w:r>
              <w:rPr>
                <w:sz w:val="18"/>
              </w:rPr>
              <w:t>NVDA</w:t>
            </w:r>
          </w:p>
        </w:tc>
        <w:tc>
          <w:tcPr>
            <w:tcW w:type="dxa" w:w="6192"/>
          </w:tcPr>
          <w:p>
            <w:r>
              <w:rPr>
                <w:sz w:val="18"/>
              </w:rPr>
              <w:t>+4.3% Friday to fresh record close (~$210); first record since October. Vera Rubin / Stargate / OKLO momentum intact. Earnings May 20.</w:t>
            </w:r>
          </w:p>
        </w:tc>
        <w:tc>
          <w:tcPr>
            <w:tcW w:type="dxa" w:w="1584"/>
            <w:shd w:val="clear" w:color="auto" w:fill="D9EAD3"/>
          </w:tcPr>
          <w:p>
            <w:r>
              <w:rPr>
                <w:sz w:val="18"/>
              </w:rPr>
              <w:t>STRONGLY POSITIVE</w:t>
            </w:r>
          </w:p>
        </w:tc>
        <w:tc>
          <w:tcPr>
            <w:tcW w:type="dxa" w:w="1296"/>
          </w:tcPr>
          <w:p>
            <w:r>
              <w:rPr>
                <w:sz w:val="18"/>
              </w:rPr>
              <w:t>HOLD 6.5%</w:t>
            </w:r>
          </w:p>
        </w:tc>
      </w:tr>
      <w:tr>
        <w:tc>
          <w:tcPr>
            <w:tcW w:type="dxa" w:w="1008"/>
          </w:tcPr>
          <w:p>
            <w:r>
              <w:rPr>
                <w:sz w:val="18"/>
              </w:rPr>
              <w:t>AMZN</w:t>
            </w:r>
          </w:p>
        </w:tc>
        <w:tc>
          <w:tcPr>
            <w:tcW w:type="dxa" w:w="6192"/>
          </w:tcPr>
          <w:p>
            <w:r>
              <w:rPr>
                <w:sz w:val="18"/>
              </w:rPr>
              <w:t>+1% on MSFT-OpenAI exclusivity end — AMZN/AWS now an open competitor for OpenAI workloads. $25B Anthropic + $100B AWS commitment intact. Q1 earnings Wed Apr 29 AMC (consensus EPS $1.65 / $2.11; rev ~$177B).</w:t>
            </w:r>
          </w:p>
        </w:tc>
        <w:tc>
          <w:tcPr>
            <w:tcW w:type="dxa" w:w="1584"/>
            <w:shd w:val="clear" w:color="auto" w:fill="D9EAD3"/>
          </w:tcPr>
          <w:p>
            <w:r>
              <w:rPr>
                <w:sz w:val="18"/>
              </w:rPr>
              <w:t>STRONGLY POSITIVE</w:t>
            </w:r>
          </w:p>
        </w:tc>
        <w:tc>
          <w:tcPr>
            <w:tcW w:type="dxa" w:w="1296"/>
          </w:tcPr>
          <w:p>
            <w:r>
              <w:rPr>
                <w:sz w:val="18"/>
              </w:rPr>
              <w:t>HOLD 5.5% into earnings</w:t>
            </w:r>
          </w:p>
        </w:tc>
      </w:tr>
      <w:tr>
        <w:tc>
          <w:tcPr>
            <w:tcW w:type="dxa" w:w="1008"/>
          </w:tcPr>
          <w:p>
            <w:r>
              <w:rPr>
                <w:sz w:val="18"/>
              </w:rPr>
              <w:t>META</w:t>
            </w:r>
          </w:p>
        </w:tc>
        <w:tc>
          <w:tcPr>
            <w:tcW w:type="dxa" w:w="6192"/>
          </w:tcPr>
          <w:p>
            <w:r>
              <w:rPr>
                <w:sz w:val="18"/>
              </w:rPr>
              <w:t>Q1 earnings Wed Apr 29 AMC; consensus EPS ~$7.51 on $55.5B rev. Capex/AI ROI commentary the swing factor.</w:t>
            </w:r>
          </w:p>
        </w:tc>
        <w:tc>
          <w:tcPr>
            <w:tcW w:type="dxa" w:w="1584"/>
            <w:shd w:val="clear" w:color="auto" w:fill="FFF2CC"/>
          </w:tcPr>
          <w:p>
            <w:r>
              <w:rPr>
                <w:sz w:val="18"/>
              </w:rPr>
              <w:t>NEUTRAL</w:t>
            </w:r>
          </w:p>
        </w:tc>
        <w:tc>
          <w:tcPr>
            <w:tcW w:type="dxa" w:w="1296"/>
          </w:tcPr>
          <w:p>
            <w:r>
              <w:rPr>
                <w:sz w:val="18"/>
              </w:rPr>
              <w:t>HOLD 4.5% into earnings</w:t>
            </w:r>
          </w:p>
        </w:tc>
      </w:tr>
      <w:tr>
        <w:tc>
          <w:tcPr>
            <w:tcW w:type="dxa" w:w="1008"/>
          </w:tcPr>
          <w:p>
            <w:r>
              <w:rPr>
                <w:sz w:val="18"/>
              </w:rPr>
              <w:t>LLY</w:t>
            </w:r>
          </w:p>
        </w:tc>
        <w:tc>
          <w:tcPr>
            <w:tcW w:type="dxa" w:w="6192"/>
          </w:tcPr>
          <w:p>
            <w:r>
              <w:rPr>
                <w:sz w:val="18"/>
              </w:rPr>
              <w:t>Earnings Thu Apr 30. Wegovy/Zepbound prescription data still weighs; Foundayo launch traction, Hims &amp; Hers distribution partial offset.</w:t>
            </w:r>
          </w:p>
        </w:tc>
        <w:tc>
          <w:tcPr>
            <w:tcW w:type="dxa" w:w="1584"/>
            <w:shd w:val="clear" w:color="auto" w:fill="F4CCCC"/>
          </w:tcPr>
          <w:p>
            <w:r>
              <w:rPr>
                <w:sz w:val="18"/>
              </w:rPr>
              <w:t>NEUTRAL/NEGATIVE</w:t>
            </w:r>
          </w:p>
        </w:tc>
        <w:tc>
          <w:tcPr>
            <w:tcW w:type="dxa" w:w="1296"/>
          </w:tcPr>
          <w:p>
            <w:r>
              <w:rPr>
                <w:sz w:val="18"/>
              </w:rPr>
              <w:t>HOLD 4.5% — revisit post-print</w:t>
            </w:r>
          </w:p>
        </w:tc>
      </w:tr>
      <w:tr>
        <w:tc>
          <w:tcPr>
            <w:tcW w:type="dxa" w:w="1008"/>
          </w:tcPr>
          <w:p>
            <w:r>
              <w:rPr>
                <w:sz w:val="18"/>
              </w:rPr>
              <w:t>JPM</w:t>
            </w:r>
          </w:p>
        </w:tc>
        <w:tc>
          <w:tcPr>
            <w:tcW w:type="dxa" w:w="6192"/>
          </w:tcPr>
          <w:p>
            <w:r>
              <w:rPr>
                <w:sz w:val="18"/>
              </w:rPr>
              <w:t>Names V its top fintech pick for 2026 (read-through: indirectly bullish for V). JPM itself trading firm; underwrote $38B ORCL data-center loan.</w:t>
            </w:r>
          </w:p>
        </w:tc>
        <w:tc>
          <w:tcPr>
            <w:tcW w:type="dxa" w:w="1584"/>
            <w:shd w:val="clear" w:color="auto" w:fill="D9EAD3"/>
          </w:tcPr>
          <w:p>
            <w:r>
              <w:rPr>
                <w:sz w:val="18"/>
              </w:rPr>
              <w:t>POSITIVE</w:t>
            </w:r>
          </w:p>
        </w:tc>
        <w:tc>
          <w:tcPr>
            <w:tcW w:type="dxa" w:w="1296"/>
          </w:tcPr>
          <w:p>
            <w:r>
              <w:rPr>
                <w:sz w:val="18"/>
              </w:rPr>
              <w:t>HOLD 4.5%</w:t>
            </w:r>
          </w:p>
        </w:tc>
      </w:tr>
      <w:tr>
        <w:tc>
          <w:tcPr>
            <w:tcW w:type="dxa" w:w="1008"/>
          </w:tcPr>
          <w:p>
            <w:r>
              <w:rPr>
                <w:sz w:val="18"/>
              </w:rPr>
              <w:t>AVGO</w:t>
            </w:r>
          </w:p>
        </w:tc>
        <w:tc>
          <w:tcPr>
            <w:tcW w:type="dxa" w:w="6192"/>
          </w:tcPr>
          <w:p>
            <w:r>
              <w:rPr>
                <w:sz w:val="18"/>
              </w:rPr>
              <w:t>AI partnership thesis intact (Meta 1+ GW; Google/Anthropic supply pacts). No new headlines; sector strength continues.</w:t>
            </w:r>
          </w:p>
        </w:tc>
        <w:tc>
          <w:tcPr>
            <w:tcW w:type="dxa" w:w="1584"/>
            <w:shd w:val="clear" w:color="auto" w:fill="D9EAD3"/>
          </w:tcPr>
          <w:p>
            <w:r>
              <w:rPr>
                <w:sz w:val="18"/>
              </w:rPr>
              <w:t>POSITIVE</w:t>
            </w:r>
          </w:p>
        </w:tc>
        <w:tc>
          <w:tcPr>
            <w:tcW w:type="dxa" w:w="1296"/>
          </w:tcPr>
          <w:p>
            <w:r>
              <w:rPr>
                <w:sz w:val="18"/>
              </w:rPr>
              <w:t>HOLD 4.0%</w:t>
            </w:r>
          </w:p>
        </w:tc>
      </w:tr>
      <w:tr>
        <w:tc>
          <w:tcPr>
            <w:tcW w:type="dxa" w:w="1008"/>
          </w:tcPr>
          <w:p>
            <w:r>
              <w:rPr>
                <w:sz w:val="18"/>
              </w:rPr>
              <w:t>MSFT</w:t>
            </w:r>
          </w:p>
        </w:tc>
        <w:tc>
          <w:tcPr>
            <w:tcW w:type="dxa" w:w="6192"/>
          </w:tcPr>
          <w:p>
            <w:r>
              <w:rPr>
                <w:sz w:val="18"/>
              </w:rPr>
              <w:t>Shares −2% on the OpenAI realignment. KEY NEWS: Microsoft license is now non-exclusive — OpenAI can sell across all clouds. MSFT stops paying OpenAI revenue share, but OpenAI continues paying MSFT through 2030. MSFT remains primary cloud through 2032 and retains IP license through 2032. Net: meaningful but not catastrophic; reduces MSFT's monopoly premium. Earnings Wed Apr 29 AMC (cons. EPS $4.04-$4.06; rev ~$81B; Azure +38% expected).</w:t>
            </w:r>
          </w:p>
        </w:tc>
        <w:tc>
          <w:tcPr>
            <w:tcW w:type="dxa" w:w="1584"/>
            <w:shd w:val="clear" w:color="auto" w:fill="FFF2CC"/>
          </w:tcPr>
          <w:p>
            <w:r>
              <w:rPr>
                <w:sz w:val="18"/>
              </w:rPr>
              <w:t>MIXED (negative day, structural premium reduced)</w:t>
            </w:r>
          </w:p>
        </w:tc>
        <w:tc>
          <w:tcPr>
            <w:tcW w:type="dxa" w:w="1296"/>
          </w:tcPr>
          <w:p>
            <w:r>
              <w:rPr>
                <w:sz w:val="18"/>
              </w:rPr>
              <w:t>HOLD 4.0% into earnings — no trim absent print weakness</w:t>
            </w:r>
          </w:p>
        </w:tc>
      </w:tr>
      <w:tr>
        <w:tc>
          <w:tcPr>
            <w:tcW w:type="dxa" w:w="1008"/>
          </w:tcPr>
          <w:p>
            <w:r>
              <w:rPr>
                <w:sz w:val="18"/>
              </w:rPr>
              <w:t>PANW</w:t>
            </w:r>
          </w:p>
        </w:tc>
        <w:tc>
          <w:tcPr>
            <w:tcW w:type="dxa" w:w="6192"/>
          </w:tcPr>
          <w:p>
            <w:r>
              <w:rPr>
                <w:sz w:val="18"/>
              </w:rPr>
              <w:t>Berenberg PT $215 still in place; Prisma Access NWN partnership.</w:t>
            </w:r>
          </w:p>
        </w:tc>
        <w:tc>
          <w:tcPr>
            <w:tcW w:type="dxa" w:w="1584"/>
            <w:shd w:val="clear" w:color="auto" w:fill="D9EAD3"/>
          </w:tcPr>
          <w:p>
            <w:r>
              <w:rPr>
                <w:sz w:val="18"/>
              </w:rPr>
              <w:t>POSITIVE</w:t>
            </w:r>
          </w:p>
        </w:tc>
        <w:tc>
          <w:tcPr>
            <w:tcW w:type="dxa" w:w="1296"/>
          </w:tcPr>
          <w:p>
            <w:r>
              <w:rPr>
                <w:sz w:val="18"/>
              </w:rPr>
              <w:t>HOLD 4.0%</w:t>
            </w:r>
          </w:p>
        </w:tc>
      </w:tr>
      <w:tr>
        <w:tc>
          <w:tcPr>
            <w:tcW w:type="dxa" w:w="1008"/>
          </w:tcPr>
          <w:p>
            <w:r>
              <w:rPr>
                <w:sz w:val="18"/>
              </w:rPr>
              <w:t>QQQ</w:t>
            </w:r>
          </w:p>
        </w:tc>
        <w:tc>
          <w:tcPr>
            <w:tcW w:type="dxa" w:w="6192"/>
          </w:tcPr>
          <w:p>
            <w:r>
              <w:rPr>
                <w:sz w:val="18"/>
              </w:rPr>
              <w:t>Mixed tape: chips strong, MSFT drags. Net +0.19%.</w:t>
            </w:r>
          </w:p>
        </w:tc>
        <w:tc>
          <w:tcPr>
            <w:tcW w:type="dxa" w:w="1584"/>
            <w:shd w:val="clear" w:color="auto" w:fill="FFF2CC"/>
          </w:tcPr>
          <w:p>
            <w:r>
              <w:rPr>
                <w:sz w:val="18"/>
              </w:rPr>
              <w:t>NEUTRAL</w:t>
            </w:r>
          </w:p>
        </w:tc>
        <w:tc>
          <w:tcPr>
            <w:tcW w:type="dxa" w:w="1296"/>
          </w:tcPr>
          <w:p>
            <w:r>
              <w:rPr>
                <w:sz w:val="18"/>
              </w:rPr>
              <w:t>HOLD 3.5%</w:t>
            </w:r>
          </w:p>
        </w:tc>
      </w:tr>
      <w:tr>
        <w:tc>
          <w:tcPr>
            <w:tcW w:type="dxa" w:w="1008"/>
          </w:tcPr>
          <w:p>
            <w:r>
              <w:rPr>
                <w:sz w:val="18"/>
              </w:rPr>
              <w:t>ORCL</w:t>
            </w:r>
          </w:p>
        </w:tc>
        <w:tc>
          <w:tcPr>
            <w:tcW w:type="dxa" w:w="6192"/>
          </w:tcPr>
          <w:p>
            <w:r>
              <w:rPr>
                <w:sz w:val="18"/>
              </w:rPr>
              <w:t>MSFT-OpenAI EXCLUSIVITY END is a structural positive for ORCL — OpenAI / Stargate already running $30B/yr on Oracle infrastructure; non-exclusive MSFT deal validates Oracle's expanded role. Stock ~$170-172. RPO $553B (+325% YoY). Layoff/Super Micro overhang lingers.</w:t>
            </w:r>
          </w:p>
        </w:tc>
        <w:tc>
          <w:tcPr>
            <w:tcW w:type="dxa" w:w="1584"/>
            <w:shd w:val="clear" w:color="auto" w:fill="D9EAD3"/>
          </w:tcPr>
          <w:p>
            <w:r>
              <w:rPr>
                <w:sz w:val="18"/>
              </w:rPr>
              <w:t>POSITIVE (structural)</w:t>
            </w:r>
          </w:p>
        </w:tc>
        <w:tc>
          <w:tcPr>
            <w:tcW w:type="dxa" w:w="1296"/>
          </w:tcPr>
          <w:p>
            <w:r>
              <w:rPr>
                <w:sz w:val="18"/>
              </w:rPr>
              <w:t>HOLD 3.5%</w:t>
            </w:r>
          </w:p>
        </w:tc>
      </w:tr>
      <w:tr>
        <w:tc>
          <w:tcPr>
            <w:tcW w:type="dxa" w:w="1008"/>
          </w:tcPr>
          <w:p>
            <w:r>
              <w:rPr>
                <w:sz w:val="18"/>
              </w:rPr>
              <w:t>GOOGL</w:t>
            </w:r>
          </w:p>
        </w:tc>
        <w:tc>
          <w:tcPr>
            <w:tcW w:type="dxa" w:w="6192"/>
          </w:tcPr>
          <w:p>
            <w:r>
              <w:rPr>
                <w:sz w:val="18"/>
              </w:rPr>
              <w:t>MSFT-OpenAI realignment opens potential GCP-OpenAI workload routing; positive structural read-through. Google Cloud Next Apr 22-24 just concluded. Q1 earnings Wed Apr 29 AMC (cons. EPS ~$2.83; rev ~$107B; Google Cloud potentially +48%).</w:t>
            </w:r>
          </w:p>
        </w:tc>
        <w:tc>
          <w:tcPr>
            <w:tcW w:type="dxa" w:w="1584"/>
            <w:shd w:val="clear" w:color="auto" w:fill="D9EAD3"/>
          </w:tcPr>
          <w:p>
            <w:r>
              <w:rPr>
                <w:sz w:val="18"/>
              </w:rPr>
              <w:t>POSITIVE (structural)</w:t>
            </w:r>
          </w:p>
        </w:tc>
        <w:tc>
          <w:tcPr>
            <w:tcW w:type="dxa" w:w="1296"/>
          </w:tcPr>
          <w:p>
            <w:r>
              <w:rPr>
                <w:sz w:val="18"/>
              </w:rPr>
              <w:t>HOLD 3.0% into earnings</w:t>
            </w:r>
          </w:p>
        </w:tc>
      </w:tr>
      <w:tr>
        <w:tc>
          <w:tcPr>
            <w:tcW w:type="dxa" w:w="1008"/>
          </w:tcPr>
          <w:p>
            <w:r>
              <w:rPr>
                <w:sz w:val="18"/>
              </w:rPr>
              <w:t>PLTR</w:t>
            </w:r>
          </w:p>
        </w:tc>
        <w:tc>
          <w:tcPr>
            <w:tcW w:type="dxa" w:w="6192"/>
          </w:tcPr>
          <w:p>
            <w:r>
              <w:rPr>
                <w:sz w:val="18"/>
              </w:rPr>
              <w:t>Stock ~$143; YTD −19% vs. SPX +4%. P/E &gt;200. Earnings May 4. USDA $300M deal intact.</w:t>
            </w:r>
          </w:p>
        </w:tc>
        <w:tc>
          <w:tcPr>
            <w:tcW w:type="dxa" w:w="1584"/>
            <w:shd w:val="clear" w:color="auto" w:fill="FFF2CC"/>
          </w:tcPr>
          <w:p>
            <w:r>
              <w:rPr>
                <w:sz w:val="18"/>
              </w:rPr>
              <w:t>MIXED</w:t>
            </w:r>
          </w:p>
        </w:tc>
        <w:tc>
          <w:tcPr>
            <w:tcW w:type="dxa" w:w="1296"/>
          </w:tcPr>
          <w:p>
            <w:r>
              <w:rPr>
                <w:sz w:val="18"/>
              </w:rPr>
              <w:t>HOLD 3.0%</w:t>
            </w:r>
          </w:p>
        </w:tc>
      </w:tr>
      <w:tr>
        <w:tc>
          <w:tcPr>
            <w:tcW w:type="dxa" w:w="1008"/>
          </w:tcPr>
          <w:p>
            <w:r>
              <w:rPr>
                <w:sz w:val="18"/>
              </w:rPr>
              <w:t>UNH</w:t>
            </w:r>
          </w:p>
        </w:tc>
        <w:tc>
          <w:tcPr>
            <w:tcW w:type="dxa" w:w="6192"/>
          </w:tcPr>
          <w:p>
            <w:r>
              <w:rPr>
                <w:sz w:val="18"/>
              </w:rPr>
              <w:t>Q1 turnaround thesis confirmed last week (EPS $7.23; FY guide $18.25+; CMS MA pay hike approved; $2B buyback).</w:t>
            </w:r>
          </w:p>
        </w:tc>
        <w:tc>
          <w:tcPr>
            <w:tcW w:type="dxa" w:w="1584"/>
            <w:shd w:val="clear" w:color="auto" w:fill="D9EAD3"/>
          </w:tcPr>
          <w:p>
            <w:r>
              <w:rPr>
                <w:sz w:val="18"/>
              </w:rPr>
              <w:t>POSITIVE (lagging)</w:t>
            </w:r>
          </w:p>
        </w:tc>
        <w:tc>
          <w:tcPr>
            <w:tcW w:type="dxa" w:w="1296"/>
          </w:tcPr>
          <w:p>
            <w:r>
              <w:rPr>
                <w:sz w:val="18"/>
              </w:rPr>
              <w:t>HOLD 3.0% — opportunistic add watch</w:t>
            </w:r>
          </w:p>
        </w:tc>
      </w:tr>
      <w:tr>
        <w:tc>
          <w:tcPr>
            <w:tcW w:type="dxa" w:w="1008"/>
          </w:tcPr>
          <w:p>
            <w:r>
              <w:rPr>
                <w:sz w:val="18"/>
              </w:rPr>
              <w:t>V</w:t>
            </w:r>
          </w:p>
        </w:tc>
        <w:tc>
          <w:tcPr>
            <w:tcW w:type="dxa" w:w="6192"/>
          </w:tcPr>
          <w:p>
            <w:r>
              <w:rPr>
                <w:sz w:val="18"/>
              </w:rPr>
              <w:t>JPM reiterates V as TOP overall fintech pick for 2026 (10-yr valuation floor; blockchain/AI commerce). Earnings Tue Apr 28 AMC (cons. EPS $3.09; rev $10.74B). Quiet period.</w:t>
            </w:r>
          </w:p>
        </w:tc>
        <w:tc>
          <w:tcPr>
            <w:tcW w:type="dxa" w:w="1584"/>
            <w:shd w:val="clear" w:color="auto" w:fill="D9EAD3"/>
          </w:tcPr>
          <w:p>
            <w:r>
              <w:rPr>
                <w:sz w:val="18"/>
              </w:rPr>
              <w:t>STRONGLY POSITIVE</w:t>
            </w:r>
          </w:p>
        </w:tc>
        <w:tc>
          <w:tcPr>
            <w:tcW w:type="dxa" w:w="1296"/>
          </w:tcPr>
          <w:p>
            <w:r>
              <w:rPr>
                <w:sz w:val="18"/>
              </w:rPr>
              <w:t>HOLD 3.0% into earnings</w:t>
            </w:r>
          </w:p>
        </w:tc>
      </w:tr>
      <w:tr>
        <w:tc>
          <w:tcPr>
            <w:tcW w:type="dxa" w:w="1008"/>
          </w:tcPr>
          <w:p>
            <w:r>
              <w:rPr>
                <w:sz w:val="18"/>
              </w:rPr>
              <w:t>TSM</w:t>
            </w:r>
          </w:p>
        </w:tc>
        <w:tc>
          <w:tcPr>
            <w:tcW w:type="dxa" w:w="6192"/>
          </w:tcPr>
          <w:p>
            <w:r>
              <w:rPr>
                <w:sz w:val="18"/>
              </w:rPr>
              <w:t>Closed at fresh record area ~$402; +25% YTD. Taiwan single-stock ETF rule eased — JPM est. $6B+ inflows. Q1 +58% YoY profit; FY26 guide &gt;30%.</w:t>
            </w:r>
          </w:p>
        </w:tc>
        <w:tc>
          <w:tcPr>
            <w:tcW w:type="dxa" w:w="1584"/>
            <w:shd w:val="clear" w:color="auto" w:fill="D9EAD3"/>
          </w:tcPr>
          <w:p>
            <w:r>
              <w:rPr>
                <w:sz w:val="18"/>
              </w:rPr>
              <w:t>STRONGLY POSITIVE</w:t>
            </w:r>
          </w:p>
        </w:tc>
        <w:tc>
          <w:tcPr>
            <w:tcW w:type="dxa" w:w="1296"/>
          </w:tcPr>
          <w:p>
            <w:r>
              <w:rPr>
                <w:sz w:val="18"/>
              </w:rPr>
              <w:t>HOLD 3.0% — add on pullback ≥3%</w:t>
            </w:r>
          </w:p>
        </w:tc>
      </w:tr>
      <w:tr>
        <w:tc>
          <w:tcPr>
            <w:tcW w:type="dxa" w:w="1008"/>
          </w:tcPr>
          <w:p>
            <w:r>
              <w:rPr>
                <w:sz w:val="18"/>
              </w:rPr>
              <w:t>XOM</w:t>
            </w:r>
          </w:p>
        </w:tc>
        <w:tc>
          <w:tcPr>
            <w:tcW w:type="dxa" w:w="6192"/>
          </w:tcPr>
          <w:p>
            <w:r>
              <w:rPr>
                <w:sz w:val="18"/>
              </w:rPr>
              <w:t>Stock ~$148-151 today; +18% YTD on oil run; Brent &gt;$107, WTI ~$96-97. Q1 earnings Fri May 1. Apr 9 reduction (3.0%→2.0%, then rebuilt to 2.5%) has been a clear underweight; rebuild trigger criteria building (Apr 24 close ~$95; Apr 27 close ~$96+ — need 1 more sustained close &gt;$95 to fire 2.5%→3.0%).</w:t>
            </w:r>
          </w:p>
        </w:tc>
        <w:tc>
          <w:tcPr>
            <w:tcW w:type="dxa" w:w="1584"/>
            <w:shd w:val="clear" w:color="auto" w:fill="D9EAD3"/>
          </w:tcPr>
          <w:p>
            <w:r>
              <w:rPr>
                <w:sz w:val="18"/>
              </w:rPr>
              <w:t>STRONGLY POSITIVE</w:t>
            </w:r>
          </w:p>
        </w:tc>
        <w:tc>
          <w:tcPr>
            <w:tcW w:type="dxa" w:w="1296"/>
          </w:tcPr>
          <w:p>
            <w:r>
              <w:rPr>
                <w:sz w:val="18"/>
              </w:rPr>
              <w:t>HOLD 2.5% — REBUILD TRIGGER ON DECK (need 1 more confirming close)</w:t>
            </w:r>
          </w:p>
        </w:tc>
      </w:tr>
      <w:tr>
        <w:tc>
          <w:tcPr>
            <w:tcW w:type="dxa" w:w="1008"/>
          </w:tcPr>
          <w:p>
            <w:r>
              <w:rPr>
                <w:sz w:val="18"/>
              </w:rPr>
              <w:t>VUG</w:t>
            </w:r>
          </w:p>
        </w:tc>
        <w:tc>
          <w:tcPr>
            <w:tcW w:type="dxa" w:w="6192"/>
          </w:tcPr>
          <w:p>
            <w:r>
              <w:rPr>
                <w:sz w:val="18"/>
              </w:rPr>
              <w:t>Tracks broad growth; mixed day.</w:t>
            </w:r>
          </w:p>
        </w:tc>
        <w:tc>
          <w:tcPr>
            <w:tcW w:type="dxa" w:w="1584"/>
            <w:shd w:val="clear" w:color="auto" w:fill="FFF2CC"/>
          </w:tcPr>
          <w:p>
            <w:r>
              <w:rPr>
                <w:sz w:val="18"/>
              </w:rPr>
              <w:t>NEUTRAL</w:t>
            </w:r>
          </w:p>
        </w:tc>
        <w:tc>
          <w:tcPr>
            <w:tcW w:type="dxa" w:w="1296"/>
          </w:tcPr>
          <w:p>
            <w:r>
              <w:rPr>
                <w:sz w:val="18"/>
              </w:rPr>
              <w:t>HOLD 2.5%</w:t>
            </w:r>
          </w:p>
        </w:tc>
      </w:tr>
      <w:tr>
        <w:tc>
          <w:tcPr>
            <w:tcW w:type="dxa" w:w="1008"/>
          </w:tcPr>
          <w:p>
            <w:r>
              <w:rPr>
                <w:sz w:val="18"/>
              </w:rPr>
              <w:t>SCHD</w:t>
            </w:r>
          </w:p>
        </w:tc>
        <w:tc>
          <w:tcPr>
            <w:tcW w:type="dxa" w:w="6192"/>
          </w:tcPr>
          <w:p>
            <w:r>
              <w:rPr>
                <w:sz w:val="18"/>
              </w:rPr>
              <w:t>Defensive ballast; benefits modestly from oil/utility tilt.</w:t>
            </w:r>
          </w:p>
        </w:tc>
        <w:tc>
          <w:tcPr>
            <w:tcW w:type="dxa" w:w="1584"/>
            <w:shd w:val="clear" w:color="auto" w:fill="FFF2CC"/>
          </w:tcPr>
          <w:p>
            <w:r>
              <w:rPr>
                <w:sz w:val="18"/>
              </w:rPr>
              <w:t>NEUTRAL</w:t>
            </w:r>
          </w:p>
        </w:tc>
        <w:tc>
          <w:tcPr>
            <w:tcW w:type="dxa" w:w="1296"/>
          </w:tcPr>
          <w:p>
            <w:r>
              <w:rPr>
                <w:sz w:val="18"/>
              </w:rPr>
              <w:t>HOLD 2.5%</w:t>
            </w:r>
          </w:p>
        </w:tc>
      </w:tr>
      <w:tr>
        <w:tc>
          <w:tcPr>
            <w:tcW w:type="dxa" w:w="1008"/>
          </w:tcPr>
          <w:p>
            <w:r>
              <w:rPr>
                <w:sz w:val="18"/>
              </w:rPr>
              <w:t>MU</w:t>
            </w:r>
          </w:p>
        </w:tc>
        <w:tc>
          <w:tcPr>
            <w:tcW w:type="dxa" w:w="6192"/>
          </w:tcPr>
          <w:p>
            <w:r>
              <w:rPr>
                <w:sz w:val="18"/>
              </w:rPr>
              <w:t>Stock ~$487 (+8.5% recent move; near ATH). HBM4 ramp; Stifel $300 PT (post-split note).</w:t>
            </w:r>
          </w:p>
        </w:tc>
        <w:tc>
          <w:tcPr>
            <w:tcW w:type="dxa" w:w="1584"/>
            <w:shd w:val="clear" w:color="auto" w:fill="D9EAD3"/>
          </w:tcPr>
          <w:p>
            <w:r>
              <w:rPr>
                <w:sz w:val="18"/>
              </w:rPr>
              <w:t>STRONGLY POSITIVE</w:t>
            </w:r>
          </w:p>
        </w:tc>
        <w:tc>
          <w:tcPr>
            <w:tcW w:type="dxa" w:w="1296"/>
          </w:tcPr>
          <w:p>
            <w:r>
              <w:rPr>
                <w:sz w:val="18"/>
              </w:rPr>
              <w:t>HOLD 2.5% — add on 3-5% pullback</w:t>
            </w:r>
          </w:p>
        </w:tc>
      </w:tr>
      <w:tr>
        <w:tc>
          <w:tcPr>
            <w:tcW w:type="dxa" w:w="1008"/>
          </w:tcPr>
          <w:p>
            <w:r>
              <w:rPr>
                <w:sz w:val="18"/>
              </w:rPr>
              <w:t>COST</w:t>
            </w:r>
          </w:p>
        </w:tc>
        <w:tc>
          <w:tcPr>
            <w:tcW w:type="dxa" w:w="6192"/>
          </w:tcPr>
          <w:p>
            <w:r>
              <w:rPr>
                <w:sz w:val="18"/>
              </w:rPr>
              <w:t>March +11.3% sales; div +13%; Bernstein Buy. Valuation rich (P/E ~50x).</w:t>
            </w:r>
          </w:p>
        </w:tc>
        <w:tc>
          <w:tcPr>
            <w:tcW w:type="dxa" w:w="1584"/>
            <w:shd w:val="clear" w:color="auto" w:fill="D9EAD3"/>
          </w:tcPr>
          <w:p>
            <w:r>
              <w:rPr>
                <w:sz w:val="18"/>
              </w:rPr>
              <w:t>POSITIVE (capped)</w:t>
            </w:r>
          </w:p>
        </w:tc>
        <w:tc>
          <w:tcPr>
            <w:tcW w:type="dxa" w:w="1296"/>
          </w:tcPr>
          <w:p>
            <w:r>
              <w:rPr>
                <w:sz w:val="18"/>
              </w:rPr>
              <w:t>HOLD 2.5%</w:t>
            </w:r>
          </w:p>
        </w:tc>
      </w:tr>
      <w:tr>
        <w:tc>
          <w:tcPr>
            <w:tcW w:type="dxa" w:w="1008"/>
          </w:tcPr>
          <w:p>
            <w:r>
              <w:rPr>
                <w:sz w:val="18"/>
              </w:rPr>
              <w:t>EOG</w:t>
            </w:r>
          </w:p>
        </w:tc>
        <w:tc>
          <w:tcPr>
            <w:tcW w:type="dxa" w:w="6192"/>
          </w:tcPr>
          <w:p>
            <w:r>
              <w:rPr>
                <w:sz w:val="18"/>
              </w:rPr>
              <w:t>~$133-136; Q1 earnings May 6. Same oil tailwind as XOM; rebuild watch tied to sustained WTI &gt;$95 (next session triggers).</w:t>
            </w:r>
          </w:p>
        </w:tc>
        <w:tc>
          <w:tcPr>
            <w:tcW w:type="dxa" w:w="1584"/>
            <w:shd w:val="clear" w:color="auto" w:fill="D9EAD3"/>
          </w:tcPr>
          <w:p>
            <w:r>
              <w:rPr>
                <w:sz w:val="18"/>
              </w:rPr>
              <w:t>STRONGLY POSITIVE</w:t>
            </w:r>
          </w:p>
        </w:tc>
        <w:tc>
          <w:tcPr>
            <w:tcW w:type="dxa" w:w="1296"/>
          </w:tcPr>
          <w:p>
            <w:r>
              <w:rPr>
                <w:sz w:val="18"/>
              </w:rPr>
              <w:t>HOLD 2.0% — REBUILD TRIGGER ON DECK</w:t>
            </w:r>
          </w:p>
        </w:tc>
      </w:tr>
      <w:tr>
        <w:tc>
          <w:tcPr>
            <w:tcW w:type="dxa" w:w="1008"/>
          </w:tcPr>
          <w:p>
            <w:r>
              <w:rPr>
                <w:sz w:val="18"/>
              </w:rPr>
              <w:t>DASH</w:t>
            </w:r>
          </w:p>
        </w:tc>
        <w:tc>
          <w:tcPr>
            <w:tcW w:type="dxa" w:w="6192"/>
          </w:tcPr>
          <w:p>
            <w:r>
              <w:rPr>
                <w:sz w:val="18"/>
              </w:rPr>
              <w:t>Multiple sell-side PT cuts but consensus OW; oil surge a near-term margin/elasticity headwind for delivery economics.</w:t>
            </w:r>
          </w:p>
        </w:tc>
        <w:tc>
          <w:tcPr>
            <w:tcW w:type="dxa" w:w="1584"/>
            <w:shd w:val="clear" w:color="auto" w:fill="F4CCCC"/>
          </w:tcPr>
          <w:p>
            <w:r>
              <w:rPr>
                <w:sz w:val="18"/>
              </w:rPr>
              <w:t>MIXED → NEGATIVE (oil)</w:t>
            </w:r>
          </w:p>
        </w:tc>
        <w:tc>
          <w:tcPr>
            <w:tcW w:type="dxa" w:w="1296"/>
          </w:tcPr>
          <w:p>
            <w:r>
              <w:rPr>
                <w:sz w:val="18"/>
              </w:rPr>
              <w:t>HOLD 2.0% — monitor closely if WTI &gt; $100 sustained</w:t>
            </w:r>
          </w:p>
        </w:tc>
      </w:tr>
      <w:tr>
        <w:tc>
          <w:tcPr>
            <w:tcW w:type="dxa" w:w="1008"/>
          </w:tcPr>
          <w:p>
            <w:r>
              <w:rPr>
                <w:sz w:val="18"/>
              </w:rPr>
              <w:t>NEE</w:t>
            </w:r>
          </w:p>
        </w:tc>
        <w:tc>
          <w:tcPr>
            <w:tcW w:type="dxa" w:w="6192"/>
          </w:tcPr>
          <w:p>
            <w:r>
              <w:rPr>
                <w:sz w:val="18"/>
              </w:rPr>
              <w:t>Q1 beat last week ($1.09 vs $0.94); FY guide $3.92-4.02; record 4 GW renewables; 9.5 GW Japan gas deal. AI data-center power thesis reinforced.</w:t>
            </w:r>
          </w:p>
        </w:tc>
        <w:tc>
          <w:tcPr>
            <w:tcW w:type="dxa" w:w="1584"/>
            <w:shd w:val="clear" w:color="auto" w:fill="D9EAD3"/>
          </w:tcPr>
          <w:p>
            <w:r>
              <w:rPr>
                <w:sz w:val="18"/>
              </w:rPr>
              <w:t>STRONGLY POSITIVE</w:t>
            </w:r>
          </w:p>
        </w:tc>
        <w:tc>
          <w:tcPr>
            <w:tcW w:type="dxa" w:w="1296"/>
          </w:tcPr>
          <w:p>
            <w:r>
              <w:rPr>
                <w:sz w:val="18"/>
              </w:rPr>
              <w:t>HOLD 2.0% — opportunistic +0.5% watch</w:t>
            </w:r>
          </w:p>
        </w:tc>
      </w:tr>
      <w:tr>
        <w:tc>
          <w:tcPr>
            <w:tcW w:type="dxa" w:w="1008"/>
          </w:tcPr>
          <w:p>
            <w:r>
              <w:rPr>
                <w:sz w:val="18"/>
              </w:rPr>
              <w:t>ABBV</w:t>
            </w:r>
          </w:p>
        </w:tc>
        <w:tc>
          <w:tcPr>
            <w:tcW w:type="dxa" w:w="6192"/>
          </w:tcPr>
          <w:p>
            <w:r>
              <w:rPr>
                <w:sz w:val="18"/>
              </w:rPr>
              <w:t>$1.4B Durham NC campus; Canaccord Buy $262. Q1 earnings Thu Apr 30.</w:t>
            </w:r>
          </w:p>
        </w:tc>
        <w:tc>
          <w:tcPr>
            <w:tcW w:type="dxa" w:w="1584"/>
            <w:shd w:val="clear" w:color="auto" w:fill="D9EAD3"/>
          </w:tcPr>
          <w:p>
            <w:r>
              <w:rPr>
                <w:sz w:val="18"/>
              </w:rPr>
              <w:t>POSITIVE</w:t>
            </w:r>
          </w:p>
        </w:tc>
        <w:tc>
          <w:tcPr>
            <w:tcW w:type="dxa" w:w="1296"/>
          </w:tcPr>
          <w:p>
            <w:r>
              <w:rPr>
                <w:sz w:val="18"/>
              </w:rPr>
              <w:t>HOLD 1.5% into earnings</w:t>
            </w:r>
          </w:p>
        </w:tc>
      </w:tr>
      <w:tr>
        <w:tc>
          <w:tcPr>
            <w:tcW w:type="dxa" w:w="1008"/>
          </w:tcPr>
          <w:p>
            <w:r>
              <w:rPr>
                <w:sz w:val="18"/>
              </w:rPr>
              <w:t>NFLX</w:t>
            </w:r>
          </w:p>
        </w:tc>
        <w:tc>
          <w:tcPr>
            <w:tcW w:type="dxa" w:w="6192"/>
          </w:tcPr>
          <w:p>
            <w:r>
              <w:rPr>
                <w:sz w:val="18"/>
              </w:rPr>
              <w:t>Q1 already printed (Apr 16): rev beat, Q2 guide soft; $25B buyback authorized.</w:t>
            </w:r>
          </w:p>
        </w:tc>
        <w:tc>
          <w:tcPr>
            <w:tcW w:type="dxa" w:w="1584"/>
            <w:shd w:val="clear" w:color="auto" w:fill="FFF2CC"/>
          </w:tcPr>
          <w:p>
            <w:r>
              <w:rPr>
                <w:sz w:val="18"/>
              </w:rPr>
              <w:t>MIXED</w:t>
            </w:r>
          </w:p>
        </w:tc>
        <w:tc>
          <w:tcPr>
            <w:tcW w:type="dxa" w:w="1296"/>
          </w:tcPr>
          <w:p>
            <w:r>
              <w:rPr>
                <w:sz w:val="18"/>
              </w:rPr>
              <w:t>HOLD 1.5%</w:t>
            </w:r>
          </w:p>
        </w:tc>
      </w:tr>
      <w:tr>
        <w:tc>
          <w:tcPr>
            <w:tcW w:type="dxa" w:w="1008"/>
          </w:tcPr>
          <w:p>
            <w:r>
              <w:rPr>
                <w:sz w:val="18"/>
              </w:rPr>
              <w:t>CRWD</w:t>
            </w:r>
          </w:p>
        </w:tc>
        <w:tc>
          <w:tcPr>
            <w:tcW w:type="dxa" w:w="6192"/>
          </w:tcPr>
          <w:p>
            <w:r>
              <w:rPr>
                <w:sz w:val="18"/>
              </w:rPr>
              <w:t>KeyBanc Buy $525; AI security tailwind; entered Apr 21 at 1.5%.</w:t>
            </w:r>
          </w:p>
        </w:tc>
        <w:tc>
          <w:tcPr>
            <w:tcW w:type="dxa" w:w="1584"/>
            <w:shd w:val="clear" w:color="auto" w:fill="D9EAD3"/>
          </w:tcPr>
          <w:p>
            <w:r>
              <w:rPr>
                <w:sz w:val="18"/>
              </w:rPr>
              <w:t>POSITIVE</w:t>
            </w:r>
          </w:p>
        </w:tc>
        <w:tc>
          <w:tcPr>
            <w:tcW w:type="dxa" w:w="1296"/>
          </w:tcPr>
          <w:p>
            <w:r>
              <w:rPr>
                <w:sz w:val="18"/>
              </w:rPr>
              <w:t>HOLD 1.5%</w:t>
            </w:r>
          </w:p>
        </w:tc>
      </w:tr>
      <w:tr>
        <w:tc>
          <w:tcPr>
            <w:tcW w:type="dxa" w:w="1008"/>
          </w:tcPr>
          <w:p>
            <w:r>
              <w:rPr>
                <w:sz w:val="18"/>
              </w:rPr>
              <w:t>INTC</w:t>
            </w:r>
          </w:p>
        </w:tc>
        <w:tc>
          <w:tcPr>
            <w:tcW w:type="dxa" w:w="6192"/>
          </w:tcPr>
          <w:p>
            <w:r>
              <w:rPr>
                <w:sz w:val="18"/>
              </w:rPr>
              <w:t>FOLLOW-THROUGH: Apr 24 was +24% — best day since 1987. New entry (Apr 24 at 1.5%) immediately in profit. Consensus PT lifting; BNP Paribas upgrade. Watch for chase-flow vs. reload pullback.</w:t>
            </w:r>
          </w:p>
        </w:tc>
        <w:tc>
          <w:tcPr>
            <w:tcW w:type="dxa" w:w="1584"/>
            <w:shd w:val="clear" w:color="auto" w:fill="D9EAD3"/>
          </w:tcPr>
          <w:p>
            <w:r>
              <w:rPr>
                <w:sz w:val="18"/>
              </w:rPr>
              <w:t>STRONGLY POSITIVE</w:t>
            </w:r>
          </w:p>
        </w:tc>
        <w:tc>
          <w:tcPr>
            <w:tcW w:type="dxa" w:w="1296"/>
          </w:tcPr>
          <w:p>
            <w:r>
              <w:rPr>
                <w:sz w:val="18"/>
              </w:rPr>
              <w:t>HOLD 1.5% — no add until pullback (entry only 1 session old)</w:t>
            </w:r>
          </w:p>
        </w:tc>
      </w:tr>
    </w:tbl>
    <w:p>
      <w:pPr>
        <w:pStyle w:val="Heading1"/>
      </w:pPr>
      <w:r>
        <w:rPr>
          <w:color w:val="1F3A5F"/>
        </w:rPr>
        <w:t>3. Scan 2 — New Opportunities &amp; Watchlist Triggers</w:t>
      </w:r>
    </w:p>
    <w:tbl>
      <w:tblPr>
        <w:tblStyle w:val="LightGrid-Accent1"/>
        <w:tblW w:type="auto" w:w="0"/>
        <w:tblLook w:firstColumn="1" w:firstRow="1" w:lastColumn="0" w:lastRow="0" w:noHBand="0" w:noVBand="1" w:val="04A0"/>
      </w:tblPr>
      <w:tblGrid>
        <w:gridCol w:w="3360"/>
        <w:gridCol w:w="3360"/>
        <w:gridCol w:w="3360"/>
      </w:tblGrid>
      <w:tr>
        <w:tc>
          <w:tcPr>
            <w:tcW w:type="dxa" w:w="1296"/>
            <w:shd w:val="clear" w:color="auto" w:fill="1F3A5F"/>
          </w:tcPr>
          <w:p>
            <w:r>
              <w:rPr>
                <w:b/>
                <w:color w:val="FFFFFF"/>
                <w:sz w:val="18"/>
              </w:rPr>
              <w:t>Ticker</w:t>
            </w:r>
          </w:p>
        </w:tc>
        <w:tc>
          <w:tcPr>
            <w:tcW w:type="dxa" w:w="7344"/>
            <w:shd w:val="clear" w:color="auto" w:fill="1F3A5F"/>
          </w:tcPr>
          <w:p>
            <w:r>
              <w:rPr>
                <w:b/>
                <w:color w:val="FFFFFF"/>
                <w:sz w:val="18"/>
              </w:rPr>
              <w:t>Status / Trigger</w:t>
            </w:r>
          </w:p>
        </w:tc>
        <w:tc>
          <w:tcPr>
            <w:tcW w:type="dxa" w:w="1440"/>
            <w:shd w:val="clear" w:color="auto" w:fill="1F3A5F"/>
          </w:tcPr>
          <w:p>
            <w:r>
              <w:rPr>
                <w:b/>
                <w:color w:val="FFFFFF"/>
                <w:sz w:val="18"/>
              </w:rPr>
              <w:t>Action</w:t>
            </w:r>
          </w:p>
        </w:tc>
      </w:tr>
      <w:tr>
        <w:tc>
          <w:tcPr>
            <w:tcW w:type="dxa" w:w="1296"/>
            <w:shd w:val="clear" w:color="auto" w:fill="FCE5CD"/>
          </w:tcPr>
          <w:p>
            <w:r>
              <w:rPr>
                <w:sz w:val="18"/>
              </w:rPr>
              <w:t>XOM (rebuild)</w:t>
            </w:r>
          </w:p>
        </w:tc>
        <w:tc>
          <w:tcPr>
            <w:tcW w:type="dxa" w:w="7344"/>
            <w:shd w:val="clear" w:color="auto" w:fill="FCE5CD"/>
          </w:tcPr>
          <w:p>
            <w:r>
              <w:rPr>
                <w:sz w:val="18"/>
              </w:rPr>
              <w:t>WTI Apr 24 close ~$95; Apr 27 close ~$96-97. Strait of Hormuz week 9; peace deal stalled. 2 of 3 sustained-close criteria met for 2.5%→3.0% rebuild.</w:t>
            </w:r>
          </w:p>
        </w:tc>
        <w:tc>
          <w:tcPr>
            <w:tcW w:type="dxa" w:w="1440"/>
            <w:shd w:val="clear" w:color="auto" w:fill="FCE5CD"/>
          </w:tcPr>
          <w:p>
            <w:r>
              <w:rPr>
                <w:sz w:val="18"/>
              </w:rPr>
              <w:t>ARM TRIGGER — fire +0.5% on Tuesday close &gt;$95</w:t>
            </w:r>
          </w:p>
        </w:tc>
      </w:tr>
      <w:tr>
        <w:tc>
          <w:tcPr>
            <w:tcW w:type="dxa" w:w="1296"/>
            <w:shd w:val="clear" w:color="auto" w:fill="FCE5CD"/>
          </w:tcPr>
          <w:p>
            <w:r>
              <w:rPr>
                <w:sz w:val="18"/>
              </w:rPr>
              <w:t>EOG (rebuild)</w:t>
            </w:r>
          </w:p>
        </w:tc>
        <w:tc>
          <w:tcPr>
            <w:tcW w:type="dxa" w:w="7344"/>
            <w:shd w:val="clear" w:color="auto" w:fill="FCE5CD"/>
          </w:tcPr>
          <w:p>
            <w:r>
              <w:rPr>
                <w:sz w:val="18"/>
              </w:rPr>
              <w:t>Same fundamentals as XOM. EOG was reduced Apr 9 (2.5%→1.5%) then rebuilt to 2.0%. Could justify 2.0%→2.5% on same 3-day trigger.</w:t>
            </w:r>
          </w:p>
        </w:tc>
        <w:tc>
          <w:tcPr>
            <w:tcW w:type="dxa" w:w="1440"/>
            <w:shd w:val="clear" w:color="auto" w:fill="FCE5CD"/>
          </w:tcPr>
          <w:p>
            <w:r>
              <w:rPr>
                <w:sz w:val="18"/>
              </w:rPr>
              <w:t>ARM TRIGGER — fire +0.5% on Tuesday close &gt;$95</w:t>
            </w:r>
          </w:p>
        </w:tc>
      </w:tr>
      <w:tr>
        <w:tc>
          <w:tcPr>
            <w:tcW w:type="dxa" w:w="1296"/>
          </w:tcPr>
          <w:p>
            <w:r>
              <w:rPr>
                <w:sz w:val="18"/>
              </w:rPr>
              <w:t>SPOT (watchlist)</w:t>
            </w:r>
          </w:p>
        </w:tc>
        <w:tc>
          <w:tcPr>
            <w:tcW w:type="dxa" w:w="7344"/>
          </w:tcPr>
          <w:p>
            <w:r>
              <w:rPr>
                <w:sz w:val="18"/>
              </w:rPr>
              <w:t>Q1 earnings Tue Apr 28 AMC. Negative ESP caution. Approaching 1B MAU.</w:t>
            </w:r>
          </w:p>
        </w:tc>
        <w:tc>
          <w:tcPr>
            <w:tcW w:type="dxa" w:w="1440"/>
          </w:tcPr>
          <w:p>
            <w:r>
              <w:rPr>
                <w:sz w:val="18"/>
              </w:rPr>
              <w:t>WAIT — post-earnings reassess; entry level &lt;$700</w:t>
            </w:r>
          </w:p>
        </w:tc>
      </w:tr>
      <w:tr>
        <w:tc>
          <w:tcPr>
            <w:tcW w:type="dxa" w:w="1296"/>
          </w:tcPr>
          <w:p>
            <w:r>
              <w:rPr>
                <w:sz w:val="18"/>
              </w:rPr>
              <w:t>ARM (watchlist)</w:t>
            </w:r>
          </w:p>
        </w:tc>
        <w:tc>
          <w:tcPr>
            <w:tcW w:type="dxa" w:w="7344"/>
          </w:tcPr>
          <w:p>
            <w:r>
              <w:rPr>
                <w:sz w:val="18"/>
              </w:rPr>
              <w:t>AGI CPU + Meta first customer; +25% MTD. P/S ~46, P/E ~233.</w:t>
            </w:r>
          </w:p>
        </w:tc>
        <w:tc>
          <w:tcPr>
            <w:tcW w:type="dxa" w:w="1440"/>
          </w:tcPr>
          <w:p>
            <w:r>
              <w:rPr>
                <w:sz w:val="18"/>
              </w:rPr>
              <w:t>PASS — valuation discipline</w:t>
            </w:r>
          </w:p>
        </w:tc>
      </w:tr>
      <w:tr>
        <w:tc>
          <w:tcPr>
            <w:tcW w:type="dxa" w:w="1296"/>
          </w:tcPr>
          <w:p>
            <w:r>
              <w:rPr>
                <w:sz w:val="18"/>
              </w:rPr>
              <w:t>GS (watchlist)</w:t>
            </w:r>
          </w:p>
        </w:tc>
        <w:tc>
          <w:tcPr>
            <w:tcW w:type="dxa" w:w="7344"/>
          </w:tcPr>
          <w:p>
            <w:r>
              <w:rPr>
                <w:sz w:val="18"/>
              </w:rPr>
              <w:t>Q1 EPS $17.55; equities trading record; fixed income missed.</w:t>
            </w:r>
          </w:p>
        </w:tc>
        <w:tc>
          <w:tcPr>
            <w:tcW w:type="dxa" w:w="1440"/>
          </w:tcPr>
          <w:p>
            <w:r>
              <w:rPr>
                <w:sz w:val="18"/>
              </w:rPr>
              <w:t>MONITOR</w:t>
            </w:r>
          </w:p>
        </w:tc>
      </w:tr>
      <w:tr>
        <w:tc>
          <w:tcPr>
            <w:tcW w:type="dxa" w:w="1296"/>
          </w:tcPr>
          <w:p>
            <w:r>
              <w:rPr>
                <w:sz w:val="18"/>
              </w:rPr>
              <w:t>WM / MDB / ISRG</w:t>
            </w:r>
          </w:p>
        </w:tc>
        <w:tc>
          <w:tcPr>
            <w:tcW w:type="dxa" w:w="7344"/>
          </w:tcPr>
          <w:p>
            <w:r>
              <w:rPr>
                <w:sz w:val="18"/>
              </w:rPr>
              <w:t>No material catalysts.</w:t>
            </w:r>
          </w:p>
        </w:tc>
        <w:tc>
          <w:tcPr>
            <w:tcW w:type="dxa" w:w="1440"/>
          </w:tcPr>
          <w:p>
            <w:r>
              <w:rPr>
                <w:sz w:val="18"/>
              </w:rPr>
              <w:t>MONITOR</w:t>
            </w:r>
          </w:p>
        </w:tc>
      </w:tr>
      <w:tr>
        <w:tc>
          <w:tcPr>
            <w:tcW w:type="dxa" w:w="1296"/>
          </w:tcPr>
          <w:p>
            <w:r>
              <w:rPr>
                <w:sz w:val="18"/>
              </w:rPr>
              <w:t>UNH (existing — add watch)</w:t>
            </w:r>
          </w:p>
        </w:tc>
        <w:tc>
          <w:tcPr>
            <w:tcW w:type="dxa" w:w="7344"/>
          </w:tcPr>
          <w:p>
            <w:r>
              <w:rPr>
                <w:sz w:val="18"/>
              </w:rPr>
              <w:t>Turnaround confirmed; 2026 PT raises. Sized 3.0%.</w:t>
            </w:r>
          </w:p>
        </w:tc>
        <w:tc>
          <w:tcPr>
            <w:tcW w:type="dxa" w:w="1440"/>
          </w:tcPr>
          <w:p>
            <w:r>
              <w:rPr>
                <w:sz w:val="18"/>
              </w:rPr>
              <w:t>MONITOR — opportunistic +0.5% on 3-5% pullback</w:t>
            </w:r>
          </w:p>
        </w:tc>
      </w:tr>
      <w:tr>
        <w:tc>
          <w:tcPr>
            <w:tcW w:type="dxa" w:w="1296"/>
          </w:tcPr>
          <w:p>
            <w:r>
              <w:rPr>
                <w:sz w:val="18"/>
              </w:rPr>
              <w:t>MU / TSM / NEE (existing — add watches)</w:t>
            </w:r>
          </w:p>
        </w:tc>
        <w:tc>
          <w:tcPr>
            <w:tcW w:type="dxa" w:w="7344"/>
          </w:tcPr>
          <w:p>
            <w:r>
              <w:rPr>
                <w:sz w:val="18"/>
              </w:rPr>
              <w:t>All printing record or near-record on strong fundamentals.</w:t>
            </w:r>
          </w:p>
        </w:tc>
        <w:tc>
          <w:tcPr>
            <w:tcW w:type="dxa" w:w="1440"/>
          </w:tcPr>
          <w:p>
            <w:r>
              <w:rPr>
                <w:sz w:val="18"/>
              </w:rPr>
              <w:t>MONITOR — wait for pullback or use FOMC volatility</w:t>
            </w:r>
          </w:p>
        </w:tc>
      </w:tr>
    </w:tbl>
    <w:p>
      <w:pPr>
        <w:pStyle w:val="Heading1"/>
      </w:pPr>
      <w:r>
        <w:rPr>
          <w:color w:val="1F3A5F"/>
        </w:rPr>
        <w:t>4. Cash Recommendation</w:t>
      </w:r>
    </w:p>
    <w:p>
      <w:r>
        <w:rPr>
          <w:b w:val="0"/>
          <w:sz w:val="22"/>
        </w:rPr>
        <w:t>Pre-action cash: 16.0%  |  Floor: 15.0%  |  VIX: 18.51 (below 30)  |  No macro shock trigger active.</w:t>
      </w:r>
    </w:p>
    <w:p>
      <w:r>
        <w:rPr>
          <w:b/>
          <w:sz w:val="22"/>
        </w:rPr>
        <w:t>RECOMMENDATION: HOLD 16.0% TODAY. Reasoning: only 1.0% of buffer above floor; XOM and EOG rebuild triggers may fire as soon as Tuesday's close (combined cost: 1.0%); FOMC Wednesday + 4 mega-cap prints Wed AMC could re-rate volatility quickly. Do not deploy today against a soft tape and pending energy add. Reserve full 1.0% buffer for armed XOM/EOG triggers.</w:t>
      </w:r>
    </w:p>
    <w:p>
      <w:r>
        <w:rPr>
          <w:b w:val="0"/>
          <w:sz w:val="20"/>
        </w:rPr>
        <w:t>Conditional plan for the week:  (a) If WTI closes &gt;$95 on Tuesday Apr 28 → execute XOM 2.5%→3.0% (+0.5%) and EOG 2.0%→2.5% (+0.5%); cash 16.0%→15.0% (at floor). (b) If FOMC/Powell delivers a hawkish surprise or any mega-cap print misses badly, the 15% floor is the hard line — DO NOT breach. (c) If oil reverses on Iran de-escalation, cancel rebuild and keep dry powder.</w:t>
      </w:r>
    </w:p>
    <w:p>
      <w:pPr>
        <w:pStyle w:val="Heading1"/>
      </w:pPr>
      <w:r>
        <w:rPr>
          <w:color w:val="1F3A5F"/>
        </w:rPr>
        <w:t>5. Pending Catalysts — Status Update</w:t>
      </w:r>
    </w:p>
    <w:tbl>
      <w:tblPr>
        <w:tblStyle w:val="LightGrid-Accent1"/>
        <w:tblW w:type="auto" w:w="0"/>
        <w:tblLook w:firstColumn="1" w:firstRow="1" w:lastColumn="0" w:lastRow="0" w:noHBand="0" w:noVBand="1" w:val="04A0"/>
      </w:tblPr>
      <w:tblGrid>
        <w:gridCol w:w="3360"/>
        <w:gridCol w:w="3360"/>
        <w:gridCol w:w="3360"/>
      </w:tblGrid>
      <w:tr>
        <w:tc>
          <w:tcPr>
            <w:tcW w:type="dxa" w:w="4608"/>
            <w:shd w:val="clear" w:color="auto" w:fill="1F3A5F"/>
          </w:tcPr>
          <w:p>
            <w:r>
              <w:rPr>
                <w:b/>
                <w:color w:val="FFFFFF"/>
                <w:sz w:val="18"/>
              </w:rPr>
              <w:t>Catalyst</w:t>
            </w:r>
          </w:p>
        </w:tc>
        <w:tc>
          <w:tcPr>
            <w:tcW w:type="dxa" w:w="1872"/>
            <w:shd w:val="clear" w:color="auto" w:fill="1F3A5F"/>
          </w:tcPr>
          <w:p>
            <w:r>
              <w:rPr>
                <w:b/>
                <w:color w:val="FFFFFF"/>
                <w:sz w:val="18"/>
              </w:rPr>
              <w:t>Status</w:t>
            </w:r>
          </w:p>
        </w:tc>
        <w:tc>
          <w:tcPr>
            <w:tcW w:type="dxa" w:w="3600"/>
            <w:shd w:val="clear" w:color="auto" w:fill="1F3A5F"/>
          </w:tcPr>
          <w:p>
            <w:r>
              <w:rPr>
                <w:b/>
                <w:color w:val="FFFFFF"/>
                <w:sz w:val="18"/>
              </w:rPr>
              <w:t>Outcome / Next Step</w:t>
            </w:r>
          </w:p>
        </w:tc>
      </w:tr>
      <w:tr>
        <w:tc>
          <w:tcPr>
            <w:tcW w:type="dxa" w:w="4608"/>
            <w:shd w:val="clear" w:color="auto" w:fill="D9EAD3"/>
          </w:tcPr>
          <w:p>
            <w:r>
              <w:rPr>
                <w:sz w:val="18"/>
              </w:rPr>
              <w:t>INTC Q1 (Apr 23) → enter 1.0–1.5%</w:t>
            </w:r>
          </w:p>
        </w:tc>
        <w:tc>
          <w:tcPr>
            <w:tcW w:type="dxa" w:w="1872"/>
            <w:shd w:val="clear" w:color="auto" w:fill="D9EAD3"/>
          </w:tcPr>
          <w:p>
            <w:r>
              <w:rPr>
                <w:sz w:val="18"/>
              </w:rPr>
              <w:t>CLOSED</w:t>
            </w:r>
          </w:p>
        </w:tc>
        <w:tc>
          <w:tcPr>
            <w:tcW w:type="dxa" w:w="3600"/>
            <w:shd w:val="clear" w:color="auto" w:fill="D9EAD3"/>
          </w:tcPr>
          <w:p>
            <w:r>
              <w:rPr>
                <w:sz w:val="18"/>
              </w:rPr>
              <w:t>Executed Apr 24 at 1.5%; INTC +24% Friday — best entry day of 2026</w:t>
            </w:r>
          </w:p>
        </w:tc>
      </w:tr>
      <w:tr>
        <w:tc>
          <w:tcPr>
            <w:tcW w:type="dxa" w:w="4608"/>
            <w:shd w:val="clear" w:color="auto" w:fill="FCE5CD"/>
          </w:tcPr>
          <w:p>
            <w:r>
              <w:rPr>
                <w:sz w:val="18"/>
              </w:rPr>
              <w:t>XOM rebuild on sustained WTI &gt; $95</w:t>
            </w:r>
          </w:p>
        </w:tc>
        <w:tc>
          <w:tcPr>
            <w:tcW w:type="dxa" w:w="1872"/>
            <w:shd w:val="clear" w:color="auto" w:fill="FCE5CD"/>
          </w:tcPr>
          <w:p>
            <w:r>
              <w:rPr>
                <w:sz w:val="18"/>
              </w:rPr>
              <w:t>ARMED</w:t>
            </w:r>
          </w:p>
        </w:tc>
        <w:tc>
          <w:tcPr>
            <w:tcW w:type="dxa" w:w="3600"/>
            <w:shd w:val="clear" w:color="auto" w:fill="FCE5CD"/>
          </w:tcPr>
          <w:p>
            <w:r>
              <w:rPr>
                <w:sz w:val="18"/>
              </w:rPr>
              <w:t>Apr 24 + Apr 27 closes &gt;$95; ARM trigger — fires on Tue Apr 28 confirmation</w:t>
            </w:r>
          </w:p>
        </w:tc>
      </w:tr>
      <w:tr>
        <w:tc>
          <w:tcPr>
            <w:tcW w:type="dxa" w:w="4608"/>
            <w:shd w:val="clear" w:color="auto" w:fill="FCE5CD"/>
          </w:tcPr>
          <w:p>
            <w:r>
              <w:rPr>
                <w:sz w:val="18"/>
              </w:rPr>
              <w:t>EOG rebuild on sustained WTI &gt; $95</w:t>
            </w:r>
          </w:p>
        </w:tc>
        <w:tc>
          <w:tcPr>
            <w:tcW w:type="dxa" w:w="1872"/>
            <w:shd w:val="clear" w:color="auto" w:fill="FCE5CD"/>
          </w:tcPr>
          <w:p>
            <w:r>
              <w:rPr>
                <w:sz w:val="18"/>
              </w:rPr>
              <w:t>ARMED</w:t>
            </w:r>
          </w:p>
        </w:tc>
        <w:tc>
          <w:tcPr>
            <w:tcW w:type="dxa" w:w="3600"/>
            <w:shd w:val="clear" w:color="auto" w:fill="FCE5CD"/>
          </w:tcPr>
          <w:p>
            <w:r>
              <w:rPr>
                <w:sz w:val="18"/>
              </w:rPr>
              <w:t>Same 3-day criteria; arm trigger for Tue Apr 28</w:t>
            </w:r>
          </w:p>
        </w:tc>
      </w:tr>
      <w:tr>
        <w:tc>
          <w:tcPr>
            <w:tcW w:type="dxa" w:w="4608"/>
          </w:tcPr>
          <w:p>
            <w:r>
              <w:rPr>
                <w:sz w:val="18"/>
              </w:rPr>
              <w:t>MU/TSM opportunistic +0.5%</w:t>
            </w:r>
          </w:p>
        </w:tc>
        <w:tc>
          <w:tcPr>
            <w:tcW w:type="dxa" w:w="1872"/>
          </w:tcPr>
          <w:p>
            <w:r>
              <w:rPr>
                <w:sz w:val="18"/>
              </w:rPr>
              <w:t>MONITOR</w:t>
            </w:r>
          </w:p>
        </w:tc>
        <w:tc>
          <w:tcPr>
            <w:tcW w:type="dxa" w:w="3600"/>
          </w:tcPr>
          <w:p>
            <w:r>
              <w:rPr>
                <w:sz w:val="18"/>
              </w:rPr>
              <w:t>Both at/near ATH — wait for 3-5% pullback (FOMC may provide it)</w:t>
            </w:r>
          </w:p>
        </w:tc>
      </w:tr>
      <w:tr>
        <w:tc>
          <w:tcPr>
            <w:tcW w:type="dxa" w:w="4608"/>
          </w:tcPr>
          <w:p>
            <w:r>
              <w:rPr>
                <w:sz w:val="18"/>
              </w:rPr>
              <w:t>NEE opportunistic +0.5%</w:t>
            </w:r>
          </w:p>
        </w:tc>
        <w:tc>
          <w:tcPr>
            <w:tcW w:type="dxa" w:w="1872"/>
          </w:tcPr>
          <w:p>
            <w:r>
              <w:rPr>
                <w:sz w:val="18"/>
              </w:rPr>
              <w:t>MONITOR</w:t>
            </w:r>
          </w:p>
        </w:tc>
        <w:tc>
          <w:tcPr>
            <w:tcW w:type="dxa" w:w="3600"/>
          </w:tcPr>
          <w:p>
            <w:r>
              <w:rPr>
                <w:sz w:val="18"/>
              </w:rPr>
              <w:t>Post Q1 beat thesis confirmed; wait for entry</w:t>
            </w:r>
          </w:p>
        </w:tc>
      </w:tr>
      <w:tr>
        <w:tc>
          <w:tcPr>
            <w:tcW w:type="dxa" w:w="4608"/>
          </w:tcPr>
          <w:p>
            <w:r>
              <w:rPr>
                <w:sz w:val="18"/>
              </w:rPr>
              <w:t>UNH opportunistic +0.5%</w:t>
            </w:r>
          </w:p>
        </w:tc>
        <w:tc>
          <w:tcPr>
            <w:tcW w:type="dxa" w:w="1872"/>
          </w:tcPr>
          <w:p>
            <w:r>
              <w:rPr>
                <w:sz w:val="18"/>
              </w:rPr>
              <w:t>MONITOR</w:t>
            </w:r>
          </w:p>
        </w:tc>
        <w:tc>
          <w:tcPr>
            <w:tcW w:type="dxa" w:w="3600"/>
          </w:tcPr>
          <w:p>
            <w:r>
              <w:rPr>
                <w:sz w:val="18"/>
              </w:rPr>
              <w:t>Turnaround thesis confirmed; wait for pullback</w:t>
            </w:r>
          </w:p>
        </w:tc>
      </w:tr>
      <w:tr>
        <w:tc>
          <w:tcPr>
            <w:tcW w:type="dxa" w:w="4608"/>
          </w:tcPr>
          <w:p>
            <w:r>
              <w:rPr>
                <w:sz w:val="18"/>
              </w:rPr>
              <w:t>V earnings (Apr 28 AMC)</w:t>
            </w:r>
          </w:p>
        </w:tc>
        <w:tc>
          <w:tcPr>
            <w:tcW w:type="dxa" w:w="1872"/>
          </w:tcPr>
          <w:p>
            <w:r>
              <w:rPr>
                <w:sz w:val="18"/>
              </w:rPr>
              <w:t>WATCH</w:t>
            </w:r>
          </w:p>
        </w:tc>
        <w:tc>
          <w:tcPr>
            <w:tcW w:type="dxa" w:w="3600"/>
          </w:tcPr>
          <w:p>
            <w:r>
              <w:rPr>
                <w:sz w:val="18"/>
              </w:rPr>
              <w:t>Quiet period; JPM names V top 2026 fintech pick — bullish setup</w:t>
            </w:r>
          </w:p>
        </w:tc>
      </w:tr>
      <w:tr>
        <w:tc>
          <w:tcPr>
            <w:tcW w:type="dxa" w:w="4608"/>
          </w:tcPr>
          <w:p>
            <w:r>
              <w:rPr>
                <w:sz w:val="18"/>
              </w:rPr>
              <w:t>MSFT/AMZN/META/GOOGL earnings (Apr 29 AMC)</w:t>
            </w:r>
          </w:p>
        </w:tc>
        <w:tc>
          <w:tcPr>
            <w:tcW w:type="dxa" w:w="1872"/>
          </w:tcPr>
          <w:p>
            <w:r>
              <w:rPr>
                <w:sz w:val="18"/>
              </w:rPr>
              <w:t>WATCH</w:t>
            </w:r>
          </w:p>
        </w:tc>
        <w:tc>
          <w:tcPr>
            <w:tcW w:type="dxa" w:w="3600"/>
          </w:tcPr>
          <w:p>
            <w:r>
              <w:rPr>
                <w:sz w:val="18"/>
              </w:rPr>
              <w:t>MSFT-OpenAI realignment is the swing for MSFT; AMZN/GOOGL beneficiaries; ABBV/LLY/AAPL Apr 30</w:t>
            </w:r>
          </w:p>
        </w:tc>
      </w:tr>
      <w:tr>
        <w:tc>
          <w:tcPr>
            <w:tcW w:type="dxa" w:w="4608"/>
          </w:tcPr>
          <w:p>
            <w:r>
              <w:rPr>
                <w:sz w:val="18"/>
              </w:rPr>
              <w:t>FOMC Apr 28-29</w:t>
            </w:r>
          </w:p>
        </w:tc>
        <w:tc>
          <w:tcPr>
            <w:tcW w:type="dxa" w:w="1872"/>
          </w:tcPr>
          <w:p>
            <w:r>
              <w:rPr>
                <w:sz w:val="18"/>
              </w:rPr>
              <w:t>WATCH</w:t>
            </w:r>
          </w:p>
        </w:tc>
        <w:tc>
          <w:tcPr>
            <w:tcW w:type="dxa" w:w="3600"/>
          </w:tcPr>
          <w:p>
            <w:r>
              <w:rPr>
                <w:sz w:val="18"/>
              </w:rPr>
              <w:t>94% hold odds; oil-driven inflation the key Powell signal; possibly Powell's last presser</w:t>
            </w:r>
          </w:p>
        </w:tc>
      </w:tr>
    </w:tbl>
    <w:p>
      <w:pPr>
        <w:pStyle w:val="Heading1"/>
      </w:pPr>
      <w:r>
        <w:rPr>
          <w:color w:val="1F3A5F"/>
        </w:rPr>
        <w:t>6. Recommended Weight Changes (Today)</w:t>
      </w:r>
    </w:p>
    <w:p>
      <w:r>
        <w:rPr>
          <w:b/>
          <w:sz w:val="22"/>
        </w:rPr>
        <w:t>NONE TODAY. Portfolio holds at 27 positions + 16.0% cash = 100.0%. Two armed triggers (XOM, EOG) are positioned to fire on Tuesday's session if WTI confirms &gt;$95 close; combined deployment 1.0% would bring cash to the 15.0% floor exactly. No pre-FOMC, pre-mega-cap-print discretionary moves recommended.</w:t>
      </w:r>
    </w:p>
    <w:p>
      <w:pPr>
        <w:pStyle w:val="Heading1"/>
      </w:pPr>
      <w:r>
        <w:rPr>
          <w:color w:val="1F3A5F"/>
        </w:rPr>
        <w:t>7. Full Portfolio — Current</w:t>
      </w:r>
    </w:p>
    <w:tbl>
      <w:tblPr>
        <w:tblStyle w:val="LightGrid-Accent1"/>
        <w:tblW w:type="auto" w:w="0"/>
        <w:tblLook w:firstColumn="1" w:firstRow="1" w:lastColumn="0" w:lastRow="0" w:noHBand="0" w:noVBand="1" w:val="04A0"/>
      </w:tblPr>
      <w:tblGrid>
        <w:gridCol w:w="2016"/>
        <w:gridCol w:w="2016"/>
        <w:gridCol w:w="2016"/>
        <w:gridCol w:w="2016"/>
        <w:gridCol w:w="2016"/>
      </w:tblGrid>
      <w:tr>
        <w:tc>
          <w:tcPr>
            <w:tcW w:type="dxa" w:w="576"/>
            <w:shd w:val="clear" w:color="auto" w:fill="1F3A5F"/>
          </w:tcPr>
          <w:p>
            <w:r>
              <w:rPr>
                <w:b/>
                <w:color w:val="FFFFFF"/>
                <w:sz w:val="18"/>
              </w:rPr>
              <w:t>#</w:t>
            </w:r>
          </w:p>
        </w:tc>
        <w:tc>
          <w:tcPr>
            <w:tcW w:type="dxa" w:w="1008"/>
            <w:shd w:val="clear" w:color="auto" w:fill="1F3A5F"/>
          </w:tcPr>
          <w:p>
            <w:r>
              <w:rPr>
                <w:b/>
                <w:color w:val="FFFFFF"/>
                <w:sz w:val="18"/>
              </w:rPr>
              <w:t>Ticker</w:t>
            </w:r>
          </w:p>
        </w:tc>
        <w:tc>
          <w:tcPr>
            <w:tcW w:type="dxa" w:w="3168"/>
            <w:shd w:val="clear" w:color="auto" w:fill="1F3A5F"/>
          </w:tcPr>
          <w:p>
            <w:r>
              <w:rPr>
                <w:b/>
                <w:color w:val="FFFFFF"/>
                <w:sz w:val="18"/>
              </w:rPr>
              <w:t>Company</w:t>
            </w:r>
          </w:p>
        </w:tc>
        <w:tc>
          <w:tcPr>
            <w:tcW w:type="dxa" w:w="3888"/>
            <w:shd w:val="clear" w:color="auto" w:fill="1F3A5F"/>
          </w:tcPr>
          <w:p>
            <w:r>
              <w:rPr>
                <w:b/>
                <w:color w:val="FFFFFF"/>
                <w:sz w:val="18"/>
              </w:rPr>
              <w:t>Sector</w:t>
            </w:r>
          </w:p>
        </w:tc>
        <w:tc>
          <w:tcPr>
            <w:tcW w:type="dxa" w:w="1440"/>
            <w:shd w:val="clear" w:color="auto" w:fill="1F3A5F"/>
          </w:tcPr>
          <w:p>
            <w:r>
              <w:rPr>
                <w:b/>
                <w:color w:val="FFFFFF"/>
                <w:sz w:val="18"/>
              </w:rPr>
              <w:t>Weight %</w:t>
            </w:r>
          </w:p>
        </w:tc>
      </w:tr>
      <w:tr>
        <w:tc>
          <w:tcPr>
            <w:tcW w:type="dxa" w:w="576"/>
          </w:tcPr>
          <w:p>
            <w:r>
              <w:rPr>
                <w:sz w:val="18"/>
              </w:rPr>
              <w:t>1</w:t>
            </w:r>
          </w:p>
        </w:tc>
        <w:tc>
          <w:tcPr>
            <w:tcW w:type="dxa" w:w="1008"/>
          </w:tcPr>
          <w:p>
            <w:r>
              <w:rPr>
                <w:sz w:val="18"/>
              </w:rPr>
              <w:t>NVDA</w:t>
            </w:r>
          </w:p>
        </w:tc>
        <w:tc>
          <w:tcPr>
            <w:tcW w:type="dxa" w:w="3168"/>
          </w:tcPr>
          <w:p>
            <w:r>
              <w:rPr>
                <w:sz w:val="18"/>
              </w:rPr>
              <w:t>NVIDIA Corporation</w:t>
            </w:r>
          </w:p>
        </w:tc>
        <w:tc>
          <w:tcPr>
            <w:tcW w:type="dxa" w:w="3888"/>
          </w:tcPr>
          <w:p>
            <w:r>
              <w:rPr>
                <w:sz w:val="18"/>
              </w:rPr>
              <w:t>Technology – AI Infrastructure</w:t>
            </w:r>
          </w:p>
        </w:tc>
        <w:tc>
          <w:tcPr>
            <w:tcW w:type="dxa" w:w="1440"/>
          </w:tcPr>
          <w:p>
            <w:r>
              <w:rPr>
                <w:sz w:val="18"/>
              </w:rPr>
              <w:t>6.5%</w:t>
            </w:r>
          </w:p>
        </w:tc>
      </w:tr>
      <w:tr>
        <w:tc>
          <w:tcPr>
            <w:tcW w:type="dxa" w:w="576"/>
          </w:tcPr>
          <w:p>
            <w:r>
              <w:rPr>
                <w:sz w:val="18"/>
              </w:rPr>
              <w:t>2</w:t>
            </w:r>
          </w:p>
        </w:tc>
        <w:tc>
          <w:tcPr>
            <w:tcW w:type="dxa" w:w="1008"/>
          </w:tcPr>
          <w:p>
            <w:r>
              <w:rPr>
                <w:sz w:val="18"/>
              </w:rPr>
              <w:t>AMZN</w:t>
            </w:r>
          </w:p>
        </w:tc>
        <w:tc>
          <w:tcPr>
            <w:tcW w:type="dxa" w:w="3168"/>
          </w:tcPr>
          <w:p>
            <w:r>
              <w:rPr>
                <w:sz w:val="18"/>
              </w:rPr>
              <w:t>Amazon.com, Inc.</w:t>
            </w:r>
          </w:p>
        </w:tc>
        <w:tc>
          <w:tcPr>
            <w:tcW w:type="dxa" w:w="3888"/>
          </w:tcPr>
          <w:p>
            <w:r>
              <w:rPr>
                <w:sz w:val="18"/>
              </w:rPr>
              <w:t>Technology – Cloud / E-Commerce</w:t>
            </w:r>
          </w:p>
        </w:tc>
        <w:tc>
          <w:tcPr>
            <w:tcW w:type="dxa" w:w="1440"/>
          </w:tcPr>
          <w:p>
            <w:r>
              <w:rPr>
                <w:sz w:val="18"/>
              </w:rPr>
              <w:t>5.5%</w:t>
            </w:r>
          </w:p>
        </w:tc>
      </w:tr>
      <w:tr>
        <w:tc>
          <w:tcPr>
            <w:tcW w:type="dxa" w:w="576"/>
          </w:tcPr>
          <w:p>
            <w:r>
              <w:rPr>
                <w:sz w:val="18"/>
              </w:rPr>
              <w:t>3</w:t>
            </w:r>
          </w:p>
        </w:tc>
        <w:tc>
          <w:tcPr>
            <w:tcW w:type="dxa" w:w="1008"/>
          </w:tcPr>
          <w:p>
            <w:r>
              <w:rPr>
                <w:sz w:val="18"/>
              </w:rPr>
              <w:t>META</w:t>
            </w:r>
          </w:p>
        </w:tc>
        <w:tc>
          <w:tcPr>
            <w:tcW w:type="dxa" w:w="3168"/>
          </w:tcPr>
          <w:p>
            <w:r>
              <w:rPr>
                <w:sz w:val="18"/>
              </w:rPr>
              <w:t>Meta Platforms, Inc.</w:t>
            </w:r>
          </w:p>
        </w:tc>
        <w:tc>
          <w:tcPr>
            <w:tcW w:type="dxa" w:w="3888"/>
          </w:tcPr>
          <w:p>
            <w:r>
              <w:rPr>
                <w:sz w:val="18"/>
              </w:rPr>
              <w:t>Communication Services</w:t>
            </w:r>
          </w:p>
        </w:tc>
        <w:tc>
          <w:tcPr>
            <w:tcW w:type="dxa" w:w="1440"/>
          </w:tcPr>
          <w:p>
            <w:r>
              <w:rPr>
                <w:sz w:val="18"/>
              </w:rPr>
              <w:t>4.5%</w:t>
            </w:r>
          </w:p>
        </w:tc>
      </w:tr>
      <w:tr>
        <w:tc>
          <w:tcPr>
            <w:tcW w:type="dxa" w:w="576"/>
          </w:tcPr>
          <w:p>
            <w:r>
              <w:rPr>
                <w:sz w:val="18"/>
              </w:rPr>
              <w:t>4</w:t>
            </w:r>
          </w:p>
        </w:tc>
        <w:tc>
          <w:tcPr>
            <w:tcW w:type="dxa" w:w="1008"/>
          </w:tcPr>
          <w:p>
            <w:r>
              <w:rPr>
                <w:sz w:val="18"/>
              </w:rPr>
              <w:t>LLY</w:t>
            </w:r>
          </w:p>
        </w:tc>
        <w:tc>
          <w:tcPr>
            <w:tcW w:type="dxa" w:w="3168"/>
          </w:tcPr>
          <w:p>
            <w:r>
              <w:rPr>
                <w:sz w:val="18"/>
              </w:rPr>
              <w:t>Eli Lilly and Company</w:t>
            </w:r>
          </w:p>
        </w:tc>
        <w:tc>
          <w:tcPr>
            <w:tcW w:type="dxa" w:w="3888"/>
          </w:tcPr>
          <w:p>
            <w:r>
              <w:rPr>
                <w:sz w:val="18"/>
              </w:rPr>
              <w:t>Healthcare – Pharmaceuticals</w:t>
            </w:r>
          </w:p>
        </w:tc>
        <w:tc>
          <w:tcPr>
            <w:tcW w:type="dxa" w:w="1440"/>
          </w:tcPr>
          <w:p>
            <w:r>
              <w:rPr>
                <w:sz w:val="18"/>
              </w:rPr>
              <w:t>4.5%</w:t>
            </w:r>
          </w:p>
        </w:tc>
      </w:tr>
      <w:tr>
        <w:tc>
          <w:tcPr>
            <w:tcW w:type="dxa" w:w="576"/>
          </w:tcPr>
          <w:p>
            <w:r>
              <w:rPr>
                <w:sz w:val="18"/>
              </w:rPr>
              <w:t>5</w:t>
            </w:r>
          </w:p>
        </w:tc>
        <w:tc>
          <w:tcPr>
            <w:tcW w:type="dxa" w:w="1008"/>
          </w:tcPr>
          <w:p>
            <w:r>
              <w:rPr>
                <w:sz w:val="18"/>
              </w:rPr>
              <w:t>JPM</w:t>
            </w:r>
          </w:p>
        </w:tc>
        <w:tc>
          <w:tcPr>
            <w:tcW w:type="dxa" w:w="3168"/>
          </w:tcPr>
          <w:p>
            <w:r>
              <w:rPr>
                <w:sz w:val="18"/>
              </w:rPr>
              <w:t>JPMorgan Chase &amp; Co.</w:t>
            </w:r>
          </w:p>
        </w:tc>
        <w:tc>
          <w:tcPr>
            <w:tcW w:type="dxa" w:w="3888"/>
          </w:tcPr>
          <w:p>
            <w:r>
              <w:rPr>
                <w:sz w:val="18"/>
              </w:rPr>
              <w:t>Financials – Banking</w:t>
            </w:r>
          </w:p>
        </w:tc>
        <w:tc>
          <w:tcPr>
            <w:tcW w:type="dxa" w:w="1440"/>
          </w:tcPr>
          <w:p>
            <w:r>
              <w:rPr>
                <w:sz w:val="18"/>
              </w:rPr>
              <w:t>4.5%</w:t>
            </w:r>
          </w:p>
        </w:tc>
      </w:tr>
      <w:tr>
        <w:tc>
          <w:tcPr>
            <w:tcW w:type="dxa" w:w="576"/>
          </w:tcPr>
          <w:p>
            <w:r>
              <w:rPr>
                <w:sz w:val="18"/>
              </w:rPr>
              <w:t>6</w:t>
            </w:r>
          </w:p>
        </w:tc>
        <w:tc>
          <w:tcPr>
            <w:tcW w:type="dxa" w:w="1008"/>
          </w:tcPr>
          <w:p>
            <w:r>
              <w:rPr>
                <w:sz w:val="18"/>
              </w:rPr>
              <w:t>AVGO</w:t>
            </w:r>
          </w:p>
        </w:tc>
        <w:tc>
          <w:tcPr>
            <w:tcW w:type="dxa" w:w="3168"/>
          </w:tcPr>
          <w:p>
            <w:r>
              <w:rPr>
                <w:sz w:val="18"/>
              </w:rPr>
              <w:t>Broadcom Inc.</w:t>
            </w:r>
          </w:p>
        </w:tc>
        <w:tc>
          <w:tcPr>
            <w:tcW w:type="dxa" w:w="3888"/>
          </w:tcPr>
          <w:p>
            <w:r>
              <w:rPr>
                <w:sz w:val="18"/>
              </w:rPr>
              <w:t>Technology – Semiconductors</w:t>
            </w:r>
          </w:p>
        </w:tc>
        <w:tc>
          <w:tcPr>
            <w:tcW w:type="dxa" w:w="1440"/>
          </w:tcPr>
          <w:p>
            <w:r>
              <w:rPr>
                <w:sz w:val="18"/>
              </w:rPr>
              <w:t>4.0%</w:t>
            </w:r>
          </w:p>
        </w:tc>
      </w:tr>
      <w:tr>
        <w:tc>
          <w:tcPr>
            <w:tcW w:type="dxa" w:w="576"/>
          </w:tcPr>
          <w:p>
            <w:r>
              <w:rPr>
                <w:sz w:val="18"/>
              </w:rPr>
              <w:t>7</w:t>
            </w:r>
          </w:p>
        </w:tc>
        <w:tc>
          <w:tcPr>
            <w:tcW w:type="dxa" w:w="1008"/>
          </w:tcPr>
          <w:p>
            <w:r>
              <w:rPr>
                <w:sz w:val="18"/>
              </w:rPr>
              <w:t>MSFT</w:t>
            </w:r>
          </w:p>
        </w:tc>
        <w:tc>
          <w:tcPr>
            <w:tcW w:type="dxa" w:w="3168"/>
          </w:tcPr>
          <w:p>
            <w:r>
              <w:rPr>
                <w:sz w:val="18"/>
              </w:rPr>
              <w:t>Microsoft Corporation</w:t>
            </w:r>
          </w:p>
        </w:tc>
        <w:tc>
          <w:tcPr>
            <w:tcW w:type="dxa" w:w="3888"/>
          </w:tcPr>
          <w:p>
            <w:r>
              <w:rPr>
                <w:sz w:val="18"/>
              </w:rPr>
              <w:t>Technology – Enterprise Software</w:t>
            </w:r>
          </w:p>
        </w:tc>
        <w:tc>
          <w:tcPr>
            <w:tcW w:type="dxa" w:w="1440"/>
          </w:tcPr>
          <w:p>
            <w:r>
              <w:rPr>
                <w:sz w:val="18"/>
              </w:rPr>
              <w:t>4.0%</w:t>
            </w:r>
          </w:p>
        </w:tc>
      </w:tr>
      <w:tr>
        <w:tc>
          <w:tcPr>
            <w:tcW w:type="dxa" w:w="576"/>
          </w:tcPr>
          <w:p>
            <w:r>
              <w:rPr>
                <w:sz w:val="18"/>
              </w:rPr>
              <w:t>8</w:t>
            </w:r>
          </w:p>
        </w:tc>
        <w:tc>
          <w:tcPr>
            <w:tcW w:type="dxa" w:w="1008"/>
          </w:tcPr>
          <w:p>
            <w:r>
              <w:rPr>
                <w:sz w:val="18"/>
              </w:rPr>
              <w:t>PANW</w:t>
            </w:r>
          </w:p>
        </w:tc>
        <w:tc>
          <w:tcPr>
            <w:tcW w:type="dxa" w:w="3168"/>
          </w:tcPr>
          <w:p>
            <w:r>
              <w:rPr>
                <w:sz w:val="18"/>
              </w:rPr>
              <w:t>Palo Alto Networks, Inc.</w:t>
            </w:r>
          </w:p>
        </w:tc>
        <w:tc>
          <w:tcPr>
            <w:tcW w:type="dxa" w:w="3888"/>
          </w:tcPr>
          <w:p>
            <w:r>
              <w:rPr>
                <w:sz w:val="18"/>
              </w:rPr>
              <w:t>Technology – Cybersecurity</w:t>
            </w:r>
          </w:p>
        </w:tc>
        <w:tc>
          <w:tcPr>
            <w:tcW w:type="dxa" w:w="1440"/>
          </w:tcPr>
          <w:p>
            <w:r>
              <w:rPr>
                <w:sz w:val="18"/>
              </w:rPr>
              <w:t>4.0%</w:t>
            </w:r>
          </w:p>
        </w:tc>
      </w:tr>
      <w:tr>
        <w:tc>
          <w:tcPr>
            <w:tcW w:type="dxa" w:w="576"/>
          </w:tcPr>
          <w:p>
            <w:r>
              <w:rPr>
                <w:sz w:val="18"/>
              </w:rPr>
              <w:t>9</w:t>
            </w:r>
          </w:p>
        </w:tc>
        <w:tc>
          <w:tcPr>
            <w:tcW w:type="dxa" w:w="1008"/>
          </w:tcPr>
          <w:p>
            <w:r>
              <w:rPr>
                <w:sz w:val="18"/>
              </w:rPr>
              <w:t>QQQ</w:t>
            </w:r>
          </w:p>
        </w:tc>
        <w:tc>
          <w:tcPr>
            <w:tcW w:type="dxa" w:w="3168"/>
          </w:tcPr>
          <w:p>
            <w:r>
              <w:rPr>
                <w:sz w:val="18"/>
              </w:rPr>
              <w:t>Invesco QQQ Trust (ETF)</w:t>
            </w:r>
          </w:p>
        </w:tc>
        <w:tc>
          <w:tcPr>
            <w:tcW w:type="dxa" w:w="3888"/>
          </w:tcPr>
          <w:p>
            <w:r>
              <w:rPr>
                <w:sz w:val="18"/>
              </w:rPr>
              <w:t>ETF – Nasdaq-100</w:t>
            </w:r>
          </w:p>
        </w:tc>
        <w:tc>
          <w:tcPr>
            <w:tcW w:type="dxa" w:w="1440"/>
          </w:tcPr>
          <w:p>
            <w:r>
              <w:rPr>
                <w:sz w:val="18"/>
              </w:rPr>
              <w:t>3.5%</w:t>
            </w:r>
          </w:p>
        </w:tc>
      </w:tr>
      <w:tr>
        <w:tc>
          <w:tcPr>
            <w:tcW w:type="dxa" w:w="576"/>
          </w:tcPr>
          <w:p>
            <w:r>
              <w:rPr>
                <w:sz w:val="18"/>
              </w:rPr>
              <w:t>10</w:t>
            </w:r>
          </w:p>
        </w:tc>
        <w:tc>
          <w:tcPr>
            <w:tcW w:type="dxa" w:w="1008"/>
          </w:tcPr>
          <w:p>
            <w:r>
              <w:rPr>
                <w:sz w:val="18"/>
              </w:rPr>
              <w:t>ORCL</w:t>
            </w:r>
          </w:p>
        </w:tc>
        <w:tc>
          <w:tcPr>
            <w:tcW w:type="dxa" w:w="3168"/>
          </w:tcPr>
          <w:p>
            <w:r>
              <w:rPr>
                <w:sz w:val="18"/>
              </w:rPr>
              <w:t>Oracle Corporation</w:t>
            </w:r>
          </w:p>
        </w:tc>
        <w:tc>
          <w:tcPr>
            <w:tcW w:type="dxa" w:w="3888"/>
          </w:tcPr>
          <w:p>
            <w:r>
              <w:rPr>
                <w:sz w:val="18"/>
              </w:rPr>
              <w:t>Technology – Cloud Database</w:t>
            </w:r>
          </w:p>
        </w:tc>
        <w:tc>
          <w:tcPr>
            <w:tcW w:type="dxa" w:w="1440"/>
          </w:tcPr>
          <w:p>
            <w:r>
              <w:rPr>
                <w:sz w:val="18"/>
              </w:rPr>
              <w:t>3.5%</w:t>
            </w:r>
          </w:p>
        </w:tc>
      </w:tr>
      <w:tr>
        <w:tc>
          <w:tcPr>
            <w:tcW w:type="dxa" w:w="576"/>
          </w:tcPr>
          <w:p>
            <w:r>
              <w:rPr>
                <w:sz w:val="18"/>
              </w:rPr>
              <w:t>11</w:t>
            </w:r>
          </w:p>
        </w:tc>
        <w:tc>
          <w:tcPr>
            <w:tcW w:type="dxa" w:w="1008"/>
          </w:tcPr>
          <w:p>
            <w:r>
              <w:rPr>
                <w:sz w:val="18"/>
              </w:rPr>
              <w:t>GOOGL</w:t>
            </w:r>
          </w:p>
        </w:tc>
        <w:tc>
          <w:tcPr>
            <w:tcW w:type="dxa" w:w="3168"/>
          </w:tcPr>
          <w:p>
            <w:r>
              <w:rPr>
                <w:sz w:val="18"/>
              </w:rPr>
              <w:t>Alphabet Inc.</w:t>
            </w:r>
          </w:p>
        </w:tc>
        <w:tc>
          <w:tcPr>
            <w:tcW w:type="dxa" w:w="3888"/>
          </w:tcPr>
          <w:p>
            <w:r>
              <w:rPr>
                <w:sz w:val="18"/>
              </w:rPr>
              <w:t>Technology – Search / Cloud</w:t>
            </w:r>
          </w:p>
        </w:tc>
        <w:tc>
          <w:tcPr>
            <w:tcW w:type="dxa" w:w="1440"/>
          </w:tcPr>
          <w:p>
            <w:r>
              <w:rPr>
                <w:sz w:val="18"/>
              </w:rPr>
              <w:t>3.0%</w:t>
            </w:r>
          </w:p>
        </w:tc>
      </w:tr>
      <w:tr>
        <w:tc>
          <w:tcPr>
            <w:tcW w:type="dxa" w:w="576"/>
          </w:tcPr>
          <w:p>
            <w:r>
              <w:rPr>
                <w:sz w:val="18"/>
              </w:rPr>
              <w:t>12</w:t>
            </w:r>
          </w:p>
        </w:tc>
        <w:tc>
          <w:tcPr>
            <w:tcW w:type="dxa" w:w="1008"/>
          </w:tcPr>
          <w:p>
            <w:r>
              <w:rPr>
                <w:sz w:val="18"/>
              </w:rPr>
              <w:t>PLTR</w:t>
            </w:r>
          </w:p>
        </w:tc>
        <w:tc>
          <w:tcPr>
            <w:tcW w:type="dxa" w:w="3168"/>
          </w:tcPr>
          <w:p>
            <w:r>
              <w:rPr>
                <w:sz w:val="18"/>
              </w:rPr>
              <w:t>Palantir Technologies, Inc.</w:t>
            </w:r>
          </w:p>
        </w:tc>
        <w:tc>
          <w:tcPr>
            <w:tcW w:type="dxa" w:w="3888"/>
          </w:tcPr>
          <w:p>
            <w:r>
              <w:rPr>
                <w:sz w:val="18"/>
              </w:rPr>
              <w:t>Technology – AI Software</w:t>
            </w:r>
          </w:p>
        </w:tc>
        <w:tc>
          <w:tcPr>
            <w:tcW w:type="dxa" w:w="1440"/>
          </w:tcPr>
          <w:p>
            <w:r>
              <w:rPr>
                <w:sz w:val="18"/>
              </w:rPr>
              <w:t>3.0%</w:t>
            </w:r>
          </w:p>
        </w:tc>
      </w:tr>
      <w:tr>
        <w:tc>
          <w:tcPr>
            <w:tcW w:type="dxa" w:w="576"/>
          </w:tcPr>
          <w:p>
            <w:r>
              <w:rPr>
                <w:sz w:val="18"/>
              </w:rPr>
              <w:t>13</w:t>
            </w:r>
          </w:p>
        </w:tc>
        <w:tc>
          <w:tcPr>
            <w:tcW w:type="dxa" w:w="1008"/>
          </w:tcPr>
          <w:p>
            <w:r>
              <w:rPr>
                <w:sz w:val="18"/>
              </w:rPr>
              <w:t>UNH</w:t>
            </w:r>
          </w:p>
        </w:tc>
        <w:tc>
          <w:tcPr>
            <w:tcW w:type="dxa" w:w="3168"/>
          </w:tcPr>
          <w:p>
            <w:r>
              <w:rPr>
                <w:sz w:val="18"/>
              </w:rPr>
              <w:t>UnitedHealth Group Inc.</w:t>
            </w:r>
          </w:p>
        </w:tc>
        <w:tc>
          <w:tcPr>
            <w:tcW w:type="dxa" w:w="3888"/>
          </w:tcPr>
          <w:p>
            <w:r>
              <w:rPr>
                <w:sz w:val="18"/>
              </w:rPr>
              <w:t>Healthcare – Managed Care</w:t>
            </w:r>
          </w:p>
        </w:tc>
        <w:tc>
          <w:tcPr>
            <w:tcW w:type="dxa" w:w="1440"/>
          </w:tcPr>
          <w:p>
            <w:r>
              <w:rPr>
                <w:sz w:val="18"/>
              </w:rPr>
              <w:t>3.0%</w:t>
            </w:r>
          </w:p>
        </w:tc>
      </w:tr>
      <w:tr>
        <w:tc>
          <w:tcPr>
            <w:tcW w:type="dxa" w:w="576"/>
          </w:tcPr>
          <w:p>
            <w:r>
              <w:rPr>
                <w:sz w:val="18"/>
              </w:rPr>
              <w:t>14</w:t>
            </w:r>
          </w:p>
        </w:tc>
        <w:tc>
          <w:tcPr>
            <w:tcW w:type="dxa" w:w="1008"/>
          </w:tcPr>
          <w:p>
            <w:r>
              <w:rPr>
                <w:sz w:val="18"/>
              </w:rPr>
              <w:t>V</w:t>
            </w:r>
          </w:p>
        </w:tc>
        <w:tc>
          <w:tcPr>
            <w:tcW w:type="dxa" w:w="3168"/>
          </w:tcPr>
          <w:p>
            <w:r>
              <w:rPr>
                <w:sz w:val="18"/>
              </w:rPr>
              <w:t>Visa Inc.</w:t>
            </w:r>
          </w:p>
        </w:tc>
        <w:tc>
          <w:tcPr>
            <w:tcW w:type="dxa" w:w="3888"/>
          </w:tcPr>
          <w:p>
            <w:r>
              <w:rPr>
                <w:sz w:val="18"/>
              </w:rPr>
              <w:t>Financials – Payments</w:t>
            </w:r>
          </w:p>
        </w:tc>
        <w:tc>
          <w:tcPr>
            <w:tcW w:type="dxa" w:w="1440"/>
          </w:tcPr>
          <w:p>
            <w:r>
              <w:rPr>
                <w:sz w:val="18"/>
              </w:rPr>
              <w:t>3.0%</w:t>
            </w:r>
          </w:p>
        </w:tc>
      </w:tr>
      <w:tr>
        <w:tc>
          <w:tcPr>
            <w:tcW w:type="dxa" w:w="576"/>
          </w:tcPr>
          <w:p>
            <w:r>
              <w:rPr>
                <w:sz w:val="18"/>
              </w:rPr>
              <w:t>15</w:t>
            </w:r>
          </w:p>
        </w:tc>
        <w:tc>
          <w:tcPr>
            <w:tcW w:type="dxa" w:w="1008"/>
          </w:tcPr>
          <w:p>
            <w:r>
              <w:rPr>
                <w:sz w:val="18"/>
              </w:rPr>
              <w:t>TSM</w:t>
            </w:r>
          </w:p>
        </w:tc>
        <w:tc>
          <w:tcPr>
            <w:tcW w:type="dxa" w:w="3168"/>
          </w:tcPr>
          <w:p>
            <w:r>
              <w:rPr>
                <w:sz w:val="18"/>
              </w:rPr>
              <w:t>Taiwan Semiconductor Mfg</w:t>
            </w:r>
          </w:p>
        </w:tc>
        <w:tc>
          <w:tcPr>
            <w:tcW w:type="dxa" w:w="3888"/>
          </w:tcPr>
          <w:p>
            <w:r>
              <w:rPr>
                <w:sz w:val="18"/>
              </w:rPr>
              <w:t>Technology – Foundry</w:t>
            </w:r>
          </w:p>
        </w:tc>
        <w:tc>
          <w:tcPr>
            <w:tcW w:type="dxa" w:w="1440"/>
          </w:tcPr>
          <w:p>
            <w:r>
              <w:rPr>
                <w:sz w:val="18"/>
              </w:rPr>
              <w:t>3.0%</w:t>
            </w:r>
          </w:p>
        </w:tc>
      </w:tr>
      <w:tr>
        <w:tc>
          <w:tcPr>
            <w:tcW w:type="dxa" w:w="576"/>
          </w:tcPr>
          <w:p>
            <w:r>
              <w:rPr>
                <w:sz w:val="18"/>
              </w:rPr>
              <w:t>16</w:t>
            </w:r>
          </w:p>
        </w:tc>
        <w:tc>
          <w:tcPr>
            <w:tcW w:type="dxa" w:w="1008"/>
          </w:tcPr>
          <w:p>
            <w:r>
              <w:rPr>
                <w:sz w:val="18"/>
              </w:rPr>
              <w:t>XOM</w:t>
            </w:r>
          </w:p>
        </w:tc>
        <w:tc>
          <w:tcPr>
            <w:tcW w:type="dxa" w:w="3168"/>
          </w:tcPr>
          <w:p>
            <w:r>
              <w:rPr>
                <w:sz w:val="18"/>
              </w:rPr>
              <w:t>Exxon Mobil Corporation</w:t>
            </w:r>
          </w:p>
        </w:tc>
        <w:tc>
          <w:tcPr>
            <w:tcW w:type="dxa" w:w="3888"/>
          </w:tcPr>
          <w:p>
            <w:r>
              <w:rPr>
                <w:sz w:val="18"/>
              </w:rPr>
              <w:t>Energy – Integrated Oil &amp; Gas</w:t>
            </w:r>
          </w:p>
        </w:tc>
        <w:tc>
          <w:tcPr>
            <w:tcW w:type="dxa" w:w="1440"/>
          </w:tcPr>
          <w:p>
            <w:r>
              <w:rPr>
                <w:sz w:val="18"/>
              </w:rPr>
              <w:t>2.5%</w:t>
            </w:r>
          </w:p>
        </w:tc>
      </w:tr>
      <w:tr>
        <w:tc>
          <w:tcPr>
            <w:tcW w:type="dxa" w:w="576"/>
          </w:tcPr>
          <w:p>
            <w:r>
              <w:rPr>
                <w:sz w:val="18"/>
              </w:rPr>
              <w:t>17</w:t>
            </w:r>
          </w:p>
        </w:tc>
        <w:tc>
          <w:tcPr>
            <w:tcW w:type="dxa" w:w="1008"/>
          </w:tcPr>
          <w:p>
            <w:r>
              <w:rPr>
                <w:sz w:val="18"/>
              </w:rPr>
              <w:t>VUG</w:t>
            </w:r>
          </w:p>
        </w:tc>
        <w:tc>
          <w:tcPr>
            <w:tcW w:type="dxa" w:w="3168"/>
          </w:tcPr>
          <w:p>
            <w:r>
              <w:rPr>
                <w:sz w:val="18"/>
              </w:rPr>
              <w:t>Vanguard Growth ETF</w:t>
            </w:r>
          </w:p>
        </w:tc>
        <w:tc>
          <w:tcPr>
            <w:tcW w:type="dxa" w:w="3888"/>
          </w:tcPr>
          <w:p>
            <w:r>
              <w:rPr>
                <w:sz w:val="18"/>
              </w:rPr>
              <w:t>ETF – Large-Cap Growth</w:t>
            </w:r>
          </w:p>
        </w:tc>
        <w:tc>
          <w:tcPr>
            <w:tcW w:type="dxa" w:w="1440"/>
          </w:tcPr>
          <w:p>
            <w:r>
              <w:rPr>
                <w:sz w:val="18"/>
              </w:rPr>
              <w:t>2.5%</w:t>
            </w:r>
          </w:p>
        </w:tc>
      </w:tr>
      <w:tr>
        <w:tc>
          <w:tcPr>
            <w:tcW w:type="dxa" w:w="576"/>
          </w:tcPr>
          <w:p>
            <w:r>
              <w:rPr>
                <w:sz w:val="18"/>
              </w:rPr>
              <w:t>18</w:t>
            </w:r>
          </w:p>
        </w:tc>
        <w:tc>
          <w:tcPr>
            <w:tcW w:type="dxa" w:w="1008"/>
          </w:tcPr>
          <w:p>
            <w:r>
              <w:rPr>
                <w:sz w:val="18"/>
              </w:rPr>
              <w:t>SCHD</w:t>
            </w:r>
          </w:p>
        </w:tc>
        <w:tc>
          <w:tcPr>
            <w:tcW w:type="dxa" w:w="3168"/>
          </w:tcPr>
          <w:p>
            <w:r>
              <w:rPr>
                <w:sz w:val="18"/>
              </w:rPr>
              <w:t>Schwab U.S. Dividend ETF</w:t>
            </w:r>
          </w:p>
        </w:tc>
        <w:tc>
          <w:tcPr>
            <w:tcW w:type="dxa" w:w="3888"/>
          </w:tcPr>
          <w:p>
            <w:r>
              <w:rPr>
                <w:sz w:val="18"/>
              </w:rPr>
              <w:t>ETF – Dividend / Income</w:t>
            </w:r>
          </w:p>
        </w:tc>
        <w:tc>
          <w:tcPr>
            <w:tcW w:type="dxa" w:w="1440"/>
          </w:tcPr>
          <w:p>
            <w:r>
              <w:rPr>
                <w:sz w:val="18"/>
              </w:rPr>
              <w:t>2.5%</w:t>
            </w:r>
          </w:p>
        </w:tc>
      </w:tr>
      <w:tr>
        <w:tc>
          <w:tcPr>
            <w:tcW w:type="dxa" w:w="576"/>
          </w:tcPr>
          <w:p>
            <w:r>
              <w:rPr>
                <w:sz w:val="18"/>
              </w:rPr>
              <w:t>19</w:t>
            </w:r>
          </w:p>
        </w:tc>
        <w:tc>
          <w:tcPr>
            <w:tcW w:type="dxa" w:w="1008"/>
          </w:tcPr>
          <w:p>
            <w:r>
              <w:rPr>
                <w:sz w:val="18"/>
              </w:rPr>
              <w:t>MU</w:t>
            </w:r>
          </w:p>
        </w:tc>
        <w:tc>
          <w:tcPr>
            <w:tcW w:type="dxa" w:w="3168"/>
          </w:tcPr>
          <w:p>
            <w:r>
              <w:rPr>
                <w:sz w:val="18"/>
              </w:rPr>
              <w:t>Micron Technology, Inc.</w:t>
            </w:r>
          </w:p>
        </w:tc>
        <w:tc>
          <w:tcPr>
            <w:tcW w:type="dxa" w:w="3888"/>
          </w:tcPr>
          <w:p>
            <w:r>
              <w:rPr>
                <w:sz w:val="18"/>
              </w:rPr>
              <w:t>Technology – Memory</w:t>
            </w:r>
          </w:p>
        </w:tc>
        <w:tc>
          <w:tcPr>
            <w:tcW w:type="dxa" w:w="1440"/>
          </w:tcPr>
          <w:p>
            <w:r>
              <w:rPr>
                <w:sz w:val="18"/>
              </w:rPr>
              <w:t>2.5%</w:t>
            </w:r>
          </w:p>
        </w:tc>
      </w:tr>
      <w:tr>
        <w:tc>
          <w:tcPr>
            <w:tcW w:type="dxa" w:w="576"/>
          </w:tcPr>
          <w:p>
            <w:r>
              <w:rPr>
                <w:sz w:val="18"/>
              </w:rPr>
              <w:t>20</w:t>
            </w:r>
          </w:p>
        </w:tc>
        <w:tc>
          <w:tcPr>
            <w:tcW w:type="dxa" w:w="1008"/>
          </w:tcPr>
          <w:p>
            <w:r>
              <w:rPr>
                <w:sz w:val="18"/>
              </w:rPr>
              <w:t>COST</w:t>
            </w:r>
          </w:p>
        </w:tc>
        <w:tc>
          <w:tcPr>
            <w:tcW w:type="dxa" w:w="3168"/>
          </w:tcPr>
          <w:p>
            <w:r>
              <w:rPr>
                <w:sz w:val="18"/>
              </w:rPr>
              <w:t>Costco Wholesale Corporation</w:t>
            </w:r>
          </w:p>
        </w:tc>
        <w:tc>
          <w:tcPr>
            <w:tcW w:type="dxa" w:w="3888"/>
          </w:tcPr>
          <w:p>
            <w:r>
              <w:rPr>
                <w:sz w:val="18"/>
              </w:rPr>
              <w:t>Consumer Staples</w:t>
            </w:r>
          </w:p>
        </w:tc>
        <w:tc>
          <w:tcPr>
            <w:tcW w:type="dxa" w:w="1440"/>
          </w:tcPr>
          <w:p>
            <w:r>
              <w:rPr>
                <w:sz w:val="18"/>
              </w:rPr>
              <w:t>2.5%</w:t>
            </w:r>
          </w:p>
        </w:tc>
      </w:tr>
      <w:tr>
        <w:tc>
          <w:tcPr>
            <w:tcW w:type="dxa" w:w="576"/>
          </w:tcPr>
          <w:p>
            <w:r>
              <w:rPr>
                <w:sz w:val="18"/>
              </w:rPr>
              <w:t>21</w:t>
            </w:r>
          </w:p>
        </w:tc>
        <w:tc>
          <w:tcPr>
            <w:tcW w:type="dxa" w:w="1008"/>
          </w:tcPr>
          <w:p>
            <w:r>
              <w:rPr>
                <w:sz w:val="18"/>
              </w:rPr>
              <w:t>EOG</w:t>
            </w:r>
          </w:p>
        </w:tc>
        <w:tc>
          <w:tcPr>
            <w:tcW w:type="dxa" w:w="3168"/>
          </w:tcPr>
          <w:p>
            <w:r>
              <w:rPr>
                <w:sz w:val="18"/>
              </w:rPr>
              <w:t>EOG Resources, Inc.</w:t>
            </w:r>
          </w:p>
        </w:tc>
        <w:tc>
          <w:tcPr>
            <w:tcW w:type="dxa" w:w="3888"/>
          </w:tcPr>
          <w:p>
            <w:r>
              <w:rPr>
                <w:sz w:val="18"/>
              </w:rPr>
              <w:t>Energy – E&amp;P</w:t>
            </w:r>
          </w:p>
        </w:tc>
        <w:tc>
          <w:tcPr>
            <w:tcW w:type="dxa" w:w="1440"/>
          </w:tcPr>
          <w:p>
            <w:r>
              <w:rPr>
                <w:sz w:val="18"/>
              </w:rPr>
              <w:t>2.0%</w:t>
            </w:r>
          </w:p>
        </w:tc>
      </w:tr>
      <w:tr>
        <w:tc>
          <w:tcPr>
            <w:tcW w:type="dxa" w:w="576"/>
          </w:tcPr>
          <w:p>
            <w:r>
              <w:rPr>
                <w:sz w:val="18"/>
              </w:rPr>
              <w:t>22</w:t>
            </w:r>
          </w:p>
        </w:tc>
        <w:tc>
          <w:tcPr>
            <w:tcW w:type="dxa" w:w="1008"/>
          </w:tcPr>
          <w:p>
            <w:r>
              <w:rPr>
                <w:sz w:val="18"/>
              </w:rPr>
              <w:t>DASH</w:t>
            </w:r>
          </w:p>
        </w:tc>
        <w:tc>
          <w:tcPr>
            <w:tcW w:type="dxa" w:w="3168"/>
          </w:tcPr>
          <w:p>
            <w:r>
              <w:rPr>
                <w:sz w:val="18"/>
              </w:rPr>
              <w:t>DoorDash, Inc.</w:t>
            </w:r>
          </w:p>
        </w:tc>
        <w:tc>
          <w:tcPr>
            <w:tcW w:type="dxa" w:w="3888"/>
          </w:tcPr>
          <w:p>
            <w:r>
              <w:rPr>
                <w:sz w:val="18"/>
              </w:rPr>
              <w:t>Consumer Discretionary</w:t>
            </w:r>
          </w:p>
        </w:tc>
        <w:tc>
          <w:tcPr>
            <w:tcW w:type="dxa" w:w="1440"/>
          </w:tcPr>
          <w:p>
            <w:r>
              <w:rPr>
                <w:sz w:val="18"/>
              </w:rPr>
              <w:t>2.0%</w:t>
            </w:r>
          </w:p>
        </w:tc>
      </w:tr>
      <w:tr>
        <w:tc>
          <w:tcPr>
            <w:tcW w:type="dxa" w:w="576"/>
          </w:tcPr>
          <w:p>
            <w:r>
              <w:rPr>
                <w:sz w:val="18"/>
              </w:rPr>
              <w:t>23</w:t>
            </w:r>
          </w:p>
        </w:tc>
        <w:tc>
          <w:tcPr>
            <w:tcW w:type="dxa" w:w="1008"/>
          </w:tcPr>
          <w:p>
            <w:r>
              <w:rPr>
                <w:sz w:val="18"/>
              </w:rPr>
              <w:t>NEE</w:t>
            </w:r>
          </w:p>
        </w:tc>
        <w:tc>
          <w:tcPr>
            <w:tcW w:type="dxa" w:w="3168"/>
          </w:tcPr>
          <w:p>
            <w:r>
              <w:rPr>
                <w:sz w:val="18"/>
              </w:rPr>
              <w:t>NextEra Energy, Inc.</w:t>
            </w:r>
          </w:p>
        </w:tc>
        <w:tc>
          <w:tcPr>
            <w:tcW w:type="dxa" w:w="3888"/>
          </w:tcPr>
          <w:p>
            <w:r>
              <w:rPr>
                <w:sz w:val="18"/>
              </w:rPr>
              <w:t>Utilities – Renewables</w:t>
            </w:r>
          </w:p>
        </w:tc>
        <w:tc>
          <w:tcPr>
            <w:tcW w:type="dxa" w:w="1440"/>
          </w:tcPr>
          <w:p>
            <w:r>
              <w:rPr>
                <w:sz w:val="18"/>
              </w:rPr>
              <w:t>2.0%</w:t>
            </w:r>
          </w:p>
        </w:tc>
      </w:tr>
      <w:tr>
        <w:tc>
          <w:tcPr>
            <w:tcW w:type="dxa" w:w="576"/>
          </w:tcPr>
          <w:p>
            <w:r>
              <w:rPr>
                <w:sz w:val="18"/>
              </w:rPr>
              <w:t>24</w:t>
            </w:r>
          </w:p>
        </w:tc>
        <w:tc>
          <w:tcPr>
            <w:tcW w:type="dxa" w:w="1008"/>
          </w:tcPr>
          <w:p>
            <w:r>
              <w:rPr>
                <w:sz w:val="18"/>
              </w:rPr>
              <w:t>ABBV</w:t>
            </w:r>
          </w:p>
        </w:tc>
        <w:tc>
          <w:tcPr>
            <w:tcW w:type="dxa" w:w="3168"/>
          </w:tcPr>
          <w:p>
            <w:r>
              <w:rPr>
                <w:sz w:val="18"/>
              </w:rPr>
              <w:t>AbbVie Inc.</w:t>
            </w:r>
          </w:p>
        </w:tc>
        <w:tc>
          <w:tcPr>
            <w:tcW w:type="dxa" w:w="3888"/>
          </w:tcPr>
          <w:p>
            <w:r>
              <w:rPr>
                <w:sz w:val="18"/>
              </w:rPr>
              <w:t>Healthcare – Biotech / Pharma</w:t>
            </w:r>
          </w:p>
        </w:tc>
        <w:tc>
          <w:tcPr>
            <w:tcW w:type="dxa" w:w="1440"/>
          </w:tcPr>
          <w:p>
            <w:r>
              <w:rPr>
                <w:sz w:val="18"/>
              </w:rPr>
              <w:t>1.5%</w:t>
            </w:r>
          </w:p>
        </w:tc>
      </w:tr>
      <w:tr>
        <w:tc>
          <w:tcPr>
            <w:tcW w:type="dxa" w:w="576"/>
          </w:tcPr>
          <w:p>
            <w:r>
              <w:rPr>
                <w:sz w:val="18"/>
              </w:rPr>
              <w:t>25</w:t>
            </w:r>
          </w:p>
        </w:tc>
        <w:tc>
          <w:tcPr>
            <w:tcW w:type="dxa" w:w="1008"/>
          </w:tcPr>
          <w:p>
            <w:r>
              <w:rPr>
                <w:sz w:val="18"/>
              </w:rPr>
              <w:t>NFLX</w:t>
            </w:r>
          </w:p>
        </w:tc>
        <w:tc>
          <w:tcPr>
            <w:tcW w:type="dxa" w:w="3168"/>
          </w:tcPr>
          <w:p>
            <w:r>
              <w:rPr>
                <w:sz w:val="18"/>
              </w:rPr>
              <w:t>Netflix, Inc.</w:t>
            </w:r>
          </w:p>
        </w:tc>
        <w:tc>
          <w:tcPr>
            <w:tcW w:type="dxa" w:w="3888"/>
          </w:tcPr>
          <w:p>
            <w:r>
              <w:rPr>
                <w:sz w:val="18"/>
              </w:rPr>
              <w:t>Communication Services</w:t>
            </w:r>
          </w:p>
        </w:tc>
        <w:tc>
          <w:tcPr>
            <w:tcW w:type="dxa" w:w="1440"/>
          </w:tcPr>
          <w:p>
            <w:r>
              <w:rPr>
                <w:sz w:val="18"/>
              </w:rPr>
              <w:t>1.5%</w:t>
            </w:r>
          </w:p>
        </w:tc>
      </w:tr>
      <w:tr>
        <w:tc>
          <w:tcPr>
            <w:tcW w:type="dxa" w:w="576"/>
          </w:tcPr>
          <w:p>
            <w:r>
              <w:rPr>
                <w:sz w:val="18"/>
              </w:rPr>
              <w:t>26</w:t>
            </w:r>
          </w:p>
        </w:tc>
        <w:tc>
          <w:tcPr>
            <w:tcW w:type="dxa" w:w="1008"/>
          </w:tcPr>
          <w:p>
            <w:r>
              <w:rPr>
                <w:sz w:val="18"/>
              </w:rPr>
              <w:t>CRWD</w:t>
            </w:r>
          </w:p>
        </w:tc>
        <w:tc>
          <w:tcPr>
            <w:tcW w:type="dxa" w:w="3168"/>
          </w:tcPr>
          <w:p>
            <w:r>
              <w:rPr>
                <w:sz w:val="18"/>
              </w:rPr>
              <w:t>CrowdStrike Holdings, Inc.</w:t>
            </w:r>
          </w:p>
        </w:tc>
        <w:tc>
          <w:tcPr>
            <w:tcW w:type="dxa" w:w="3888"/>
          </w:tcPr>
          <w:p>
            <w:r>
              <w:rPr>
                <w:sz w:val="18"/>
              </w:rPr>
              <w:t>Technology – Cybersecurity</w:t>
            </w:r>
          </w:p>
        </w:tc>
        <w:tc>
          <w:tcPr>
            <w:tcW w:type="dxa" w:w="1440"/>
          </w:tcPr>
          <w:p>
            <w:r>
              <w:rPr>
                <w:sz w:val="18"/>
              </w:rPr>
              <w:t>1.5%</w:t>
            </w:r>
          </w:p>
        </w:tc>
      </w:tr>
      <w:tr>
        <w:tc>
          <w:tcPr>
            <w:tcW w:type="dxa" w:w="576"/>
            <w:shd w:val="clear" w:color="auto" w:fill="D9EAD3"/>
          </w:tcPr>
          <w:p>
            <w:r>
              <w:rPr>
                <w:sz w:val="18"/>
              </w:rPr>
              <w:t>27</w:t>
            </w:r>
          </w:p>
        </w:tc>
        <w:tc>
          <w:tcPr>
            <w:tcW w:type="dxa" w:w="1008"/>
            <w:shd w:val="clear" w:color="auto" w:fill="D9EAD3"/>
          </w:tcPr>
          <w:p>
            <w:r>
              <w:rPr>
                <w:sz w:val="18"/>
              </w:rPr>
              <w:t>INTC</w:t>
            </w:r>
          </w:p>
        </w:tc>
        <w:tc>
          <w:tcPr>
            <w:tcW w:type="dxa" w:w="3168"/>
            <w:shd w:val="clear" w:color="auto" w:fill="D9EAD3"/>
          </w:tcPr>
          <w:p>
            <w:r>
              <w:rPr>
                <w:sz w:val="18"/>
              </w:rPr>
              <w:t>Intel Corporation</w:t>
            </w:r>
          </w:p>
        </w:tc>
        <w:tc>
          <w:tcPr>
            <w:tcW w:type="dxa" w:w="3888"/>
            <w:shd w:val="clear" w:color="auto" w:fill="D9EAD3"/>
          </w:tcPr>
          <w:p>
            <w:r>
              <w:rPr>
                <w:sz w:val="18"/>
              </w:rPr>
              <w:t>Technology – Semiconductors</w:t>
            </w:r>
          </w:p>
        </w:tc>
        <w:tc>
          <w:tcPr>
            <w:tcW w:type="dxa" w:w="1440"/>
            <w:shd w:val="clear" w:color="auto" w:fill="D9EAD3"/>
          </w:tcPr>
          <w:p>
            <w:r>
              <w:rPr>
                <w:sz w:val="18"/>
              </w:rPr>
              <w:t>1.5%</w:t>
            </w:r>
          </w:p>
        </w:tc>
      </w:tr>
      <w:tr>
        <w:tc>
          <w:tcPr>
            <w:tcW w:type="dxa" w:w="576"/>
            <w:shd w:val="clear" w:color="auto" w:fill="FFF2CC"/>
          </w:tcPr>
          <w:p>
            <w:r>
              <w:rPr>
                <w:sz w:val="18"/>
              </w:rPr>
              <w:t>—</w:t>
            </w:r>
          </w:p>
        </w:tc>
        <w:tc>
          <w:tcPr>
            <w:tcW w:type="dxa" w:w="1008"/>
            <w:shd w:val="clear" w:color="auto" w:fill="FFF2CC"/>
          </w:tcPr>
          <w:p>
            <w:r>
              <w:rPr>
                <w:sz w:val="18"/>
              </w:rPr>
              <w:t>CASH</w:t>
            </w:r>
          </w:p>
        </w:tc>
        <w:tc>
          <w:tcPr>
            <w:tcW w:type="dxa" w:w="3168"/>
            <w:shd w:val="clear" w:color="auto" w:fill="FFF2CC"/>
          </w:tcPr>
          <w:p>
            <w:r>
              <w:rPr>
                <w:sz w:val="18"/>
              </w:rPr>
              <w:t>Cash / Money Market Reserve</w:t>
            </w:r>
          </w:p>
        </w:tc>
        <w:tc>
          <w:tcPr>
            <w:tcW w:type="dxa" w:w="3888"/>
            <w:shd w:val="clear" w:color="auto" w:fill="FFF2CC"/>
          </w:tcPr>
          <w:p>
            <w:r>
              <w:rPr>
                <w:sz w:val="18"/>
              </w:rPr>
              <w:t>Cash &amp; Equivalents</w:t>
            </w:r>
          </w:p>
        </w:tc>
        <w:tc>
          <w:tcPr>
            <w:tcW w:type="dxa" w:w="1440"/>
            <w:shd w:val="clear" w:color="auto" w:fill="FFF2CC"/>
          </w:tcPr>
          <w:p>
            <w:r>
              <w:rPr>
                <w:sz w:val="18"/>
              </w:rPr>
              <w:t>16.0%</w:t>
            </w:r>
          </w:p>
        </w:tc>
      </w:tr>
      <w:tr>
        <w:tc>
          <w:tcPr>
            <w:tcW w:type="dxa" w:w="576"/>
            <w:shd w:val="clear" w:color="auto" w:fill="CFE2F3"/>
          </w:tcPr>
          <w:p>
            <w:r>
              <w:rPr>
                <w:b/>
                <w:sz w:val="18"/>
              </w:rPr>
            </w:r>
          </w:p>
        </w:tc>
        <w:tc>
          <w:tcPr>
            <w:tcW w:type="dxa" w:w="1008"/>
            <w:shd w:val="clear" w:color="auto" w:fill="CFE2F3"/>
          </w:tcPr>
          <w:p>
            <w:r>
              <w:rPr>
                <w:b/>
                <w:sz w:val="18"/>
              </w:rPr>
            </w:r>
          </w:p>
        </w:tc>
        <w:tc>
          <w:tcPr>
            <w:tcW w:type="dxa" w:w="3168"/>
            <w:shd w:val="clear" w:color="auto" w:fill="CFE2F3"/>
          </w:tcPr>
          <w:p>
            <w:r>
              <w:rPr>
                <w:b/>
                <w:sz w:val="18"/>
              </w:rPr>
            </w:r>
          </w:p>
        </w:tc>
        <w:tc>
          <w:tcPr>
            <w:tcW w:type="dxa" w:w="3888"/>
            <w:shd w:val="clear" w:color="auto" w:fill="CFE2F3"/>
          </w:tcPr>
          <w:p>
            <w:r>
              <w:rPr>
                <w:b/>
                <w:sz w:val="18"/>
              </w:rPr>
              <w:t>TOTAL</w:t>
            </w:r>
          </w:p>
        </w:tc>
        <w:tc>
          <w:tcPr>
            <w:tcW w:type="dxa" w:w="1440"/>
            <w:shd w:val="clear" w:color="auto" w:fill="CFE2F3"/>
          </w:tcPr>
          <w:p>
            <w:r>
              <w:rPr>
                <w:b/>
                <w:sz w:val="18"/>
              </w:rPr>
              <w:t>100.0%</w:t>
            </w:r>
          </w:p>
        </w:tc>
      </w:tr>
    </w:tbl>
    <w:p>
      <w:pPr>
        <w:pStyle w:val="Heading1"/>
      </w:pPr>
      <w:r>
        <w:rPr>
          <w:color w:val="1F3A5F"/>
        </w:rPr>
        <w:t>8. Sources</w:t>
      </w:r>
    </w:p>
    <w:p>
      <w:pPr>
        <w:pStyle w:val="ListBullet"/>
      </w:pPr>
      <w:r>
        <w:rPr>
          <w:sz w:val="18"/>
        </w:rPr>
        <w:t xml:space="preserve">Apr 27 market wrap — Yahoo Finance:  </w:t>
      </w:r>
      <w:r>
        <w:rPr>
          <w:color w:val="1F3A5F"/>
          <w:sz w:val="18"/>
        </w:rPr>
        <w:t>https://finance.yahoo.com/markets/stocks/live/stock-market-today-monday-april-27-232226050.html</w:t>
      </w:r>
    </w:p>
    <w:p>
      <w:pPr>
        <w:pStyle w:val="ListBullet"/>
      </w:pPr>
      <w:r>
        <w:rPr>
          <w:sz w:val="18"/>
        </w:rPr>
        <w:t xml:space="preserve">Apr 27 market wrap — TheStreet:  </w:t>
      </w:r>
      <w:r>
        <w:rPr>
          <w:color w:val="1F3A5F"/>
          <w:sz w:val="18"/>
        </w:rPr>
        <w:t>https://www.thestreet.com/latest-news/stock-market-today-apr-27-2026-updates</w:t>
      </w:r>
    </w:p>
    <w:p>
      <w:pPr>
        <w:pStyle w:val="ListBullet"/>
      </w:pPr>
      <w:r>
        <w:rPr>
          <w:sz w:val="18"/>
        </w:rPr>
        <w:t xml:space="preserve">Apr 27 market wrap — 24/7 Wall St:  </w:t>
      </w:r>
      <w:r>
        <w:rPr>
          <w:color w:val="1F3A5F"/>
          <w:sz w:val="18"/>
        </w:rPr>
        <w:t>https://247wallst.com/investing/2026/04/27/stock-market-live-april-27-2026-sp-500-spy-flat-as-iran-peace-deal-talks-stall/</w:t>
      </w:r>
    </w:p>
    <w:p>
      <w:pPr>
        <w:pStyle w:val="ListBullet"/>
      </w:pPr>
      <w:r>
        <w:rPr>
          <w:sz w:val="18"/>
        </w:rPr>
        <w:t xml:space="preserve">MSFT–OpenAI partnership shift — Bloomberg:  </w:t>
      </w:r>
      <w:r>
        <w:rPr>
          <w:color w:val="1F3A5F"/>
          <w:sz w:val="18"/>
        </w:rPr>
        <w:t>https://www.bloomberg.com/news/articles/2026-04-27/microsoft-to-stop-sharing-revenue-with-main-ai-partner-openai</w:t>
      </w:r>
    </w:p>
    <w:p>
      <w:pPr>
        <w:pStyle w:val="ListBullet"/>
      </w:pPr>
      <w:r>
        <w:rPr>
          <w:sz w:val="18"/>
        </w:rPr>
        <w:t xml:space="preserve">MSFT–OpenAI partnership — CNBC:  </w:t>
      </w:r>
      <w:r>
        <w:rPr>
          <w:color w:val="1F3A5F"/>
          <w:sz w:val="18"/>
        </w:rPr>
        <w:t>https://www.cnbc.com/2026/04/27/openai-microsoft-partnership-revenue-cap.html</w:t>
      </w:r>
    </w:p>
    <w:p>
      <w:pPr>
        <w:pStyle w:val="ListBullet"/>
      </w:pPr>
      <w:r>
        <w:rPr>
          <w:sz w:val="18"/>
        </w:rPr>
        <w:t xml:space="preserve">MSFT–OpenAI partnership — Microsoft blog:  </w:t>
      </w:r>
      <w:r>
        <w:rPr>
          <w:color w:val="1F3A5F"/>
          <w:sz w:val="18"/>
        </w:rPr>
        <w:t>https://blogs.microsoft.com/blog/2026/04/27/the-next-phase-of-the-microsoft-openai-partnership/</w:t>
      </w:r>
    </w:p>
    <w:p>
      <w:pPr>
        <w:pStyle w:val="ListBullet"/>
      </w:pPr>
      <w:r>
        <w:rPr>
          <w:sz w:val="18"/>
        </w:rPr>
        <w:t xml:space="preserve">OpenAI: next phase of MSFT partnership:  </w:t>
      </w:r>
      <w:r>
        <w:rPr>
          <w:color w:val="1F3A5F"/>
          <w:sz w:val="18"/>
        </w:rPr>
        <w:t>https://openai.com/index/next-phase-of-microsoft-partnership/</w:t>
      </w:r>
    </w:p>
    <w:p>
      <w:pPr>
        <w:pStyle w:val="ListBullet"/>
      </w:pPr>
      <w:r>
        <w:rPr>
          <w:sz w:val="18"/>
        </w:rPr>
        <w:t xml:space="preserve">WTI oil Apr 27 — TradingEconomics/CNBC compendium:  </w:t>
      </w:r>
      <w:r>
        <w:rPr>
          <w:color w:val="1F3A5F"/>
          <w:sz w:val="18"/>
        </w:rPr>
        <w:t>https://tradingeconomics.com/commodity/crude-oil</w:t>
      </w:r>
    </w:p>
    <w:p>
      <w:pPr>
        <w:pStyle w:val="ListBullet"/>
      </w:pPr>
      <w:r>
        <w:rPr>
          <w:sz w:val="18"/>
        </w:rPr>
        <w:t xml:space="preserve">Brent / Hormuz Apr 27 — Al Jazeera:  </w:t>
      </w:r>
      <w:r>
        <w:rPr>
          <w:color w:val="1F3A5F"/>
          <w:sz w:val="18"/>
        </w:rPr>
        <w:t>https://www.aljazeera.com/economy/2026/4/27/oil-prices-rise-higher-amid-stalled-us-iran-peace-talks</w:t>
      </w:r>
    </w:p>
    <w:p>
      <w:pPr>
        <w:pStyle w:val="ListBullet"/>
      </w:pPr>
      <w:r>
        <w:rPr>
          <w:sz w:val="18"/>
        </w:rPr>
        <w:t xml:space="preserve">FOMC Apr 28-29 expectations — Kiplinger:  </w:t>
      </w:r>
      <w:r>
        <w:rPr>
          <w:color w:val="1F3A5F"/>
          <w:sz w:val="18"/>
        </w:rPr>
        <w:t>https://www.kiplinger.com/news/live/fed-meeting-updates-and-commentary-april-2026</w:t>
      </w:r>
    </w:p>
    <w:p>
      <w:pPr>
        <w:pStyle w:val="ListBullet"/>
      </w:pPr>
      <w:r>
        <w:rPr>
          <w:sz w:val="18"/>
        </w:rPr>
        <w:t xml:space="preserve">FOMC Apr 28-29 expectations — Morningstar:  </w:t>
      </w:r>
      <w:r>
        <w:rPr>
          <w:color w:val="1F3A5F"/>
          <w:sz w:val="18"/>
        </w:rPr>
        <w:t>https://www.morningstar.com/economy/fed-rates-seen-hold-april-policy-meeting</w:t>
      </w:r>
    </w:p>
    <w:p>
      <w:pPr>
        <w:pStyle w:val="ListBullet"/>
      </w:pPr>
      <w:r>
        <w:rPr>
          <w:sz w:val="18"/>
        </w:rPr>
        <w:t xml:space="preserve">Mega-cap earnings preview — Seeking Alpha:  </w:t>
      </w:r>
      <w:r>
        <w:rPr>
          <w:color w:val="1F3A5F"/>
          <w:sz w:val="18"/>
        </w:rPr>
        <w:t>https://seekingalpha.com/news/4579372-earnings-week-ahead-msft-aapl-goog-amzn-meta-xom-cvx-ko-v-sbux-f-gm-and-more</w:t>
      </w:r>
    </w:p>
    <w:p>
      <w:pPr>
        <w:pStyle w:val="ListBullet"/>
      </w:pPr>
      <w:r>
        <w:rPr>
          <w:sz w:val="18"/>
        </w:rPr>
        <w:t xml:space="preserve">Mega-cap earnings preview — FX Leaders:  </w:t>
      </w:r>
      <w:r>
        <w:rPr>
          <w:color w:val="1F3A5F"/>
          <w:sz w:val="18"/>
        </w:rPr>
        <w:t>https://www.fxleaders.com/news/2026/04/26/forex-april-27-msft-google-apple-amzn-meta-ko-visa-gm-earnings-preview/</w:t>
      </w:r>
    </w:p>
    <w:p>
      <w:pPr>
        <w:pStyle w:val="ListBullet"/>
      </w:pPr>
      <w:r>
        <w:rPr>
          <w:sz w:val="18"/>
        </w:rPr>
        <w:t xml:space="preserve">V — JPM names top fintech pick — TipRanks:  </w:t>
      </w:r>
      <w:r>
        <w:rPr>
          <w:color w:val="1F3A5F"/>
          <w:sz w:val="18"/>
        </w:rPr>
        <w:t>https://www.tipranks.com/news/jpmorgan-chase-names-visa-stock-v-a-top-pick-for-2026</w:t>
      </w:r>
    </w:p>
    <w:p>
      <w:pPr>
        <w:pStyle w:val="ListBullet"/>
      </w:pPr>
      <w:r>
        <w:rPr>
          <w:sz w:val="18"/>
        </w:rPr>
        <w:t xml:space="preserve">NVDA new record / INTC +24% — Motley Fool:  </w:t>
      </w:r>
      <w:r>
        <w:rPr>
          <w:color w:val="1F3A5F"/>
          <w:sz w:val="18"/>
        </w:rPr>
        <w:t>https://www.fool.com/investing/2026/04/24/why-nvidia-stock-popped-today/</w:t>
      </w:r>
    </w:p>
    <w:p>
      <w:pPr>
        <w:pStyle w:val="ListBullet"/>
      </w:pPr>
      <w:r>
        <w:rPr>
          <w:sz w:val="18"/>
        </w:rPr>
        <w:t xml:space="preserve">NVDA outlook — Public.com:  </w:t>
      </w:r>
      <w:r>
        <w:rPr>
          <w:color w:val="1F3A5F"/>
          <w:sz w:val="18"/>
        </w:rPr>
        <w:t>https://public.com/stocks/nvda/forecast-price-target</w:t>
      </w:r>
    </w:p>
    <w:p>
      <w:pPr>
        <w:pStyle w:val="ListBullet"/>
      </w:pPr>
      <w:r>
        <w:rPr>
          <w:sz w:val="18"/>
        </w:rPr>
        <w:t xml:space="preserve">ORCL — RPO/Stargate context — Techi:  </w:t>
      </w:r>
      <w:r>
        <w:rPr>
          <w:color w:val="1F3A5F"/>
          <w:sz w:val="18"/>
        </w:rPr>
        <w:t>https://www.techi.com/oracle-stock/</w:t>
      </w:r>
    </w:p>
    <w:p>
      <w:pPr>
        <w:pStyle w:val="ListBullet"/>
      </w:pPr>
      <w:r>
        <w:rPr>
          <w:sz w:val="18"/>
        </w:rPr>
        <w:t xml:space="preserve">PLTR YTD weakness — Motley Fool:  </w:t>
      </w:r>
      <w:r>
        <w:rPr>
          <w:color w:val="1F3A5F"/>
          <w:sz w:val="18"/>
        </w:rPr>
        <w:t>https://www.fool.com/investing/2026/04/27/is-palantir-technologies-stock-more-likely-to-hit/</w:t>
      </w:r>
    </w:p>
    <w:p>
      <w:pPr>
        <w:pStyle w:val="ListBullet"/>
      </w:pPr>
      <w:r>
        <w:rPr>
          <w:sz w:val="18"/>
        </w:rPr>
        <w:t xml:space="preserve">TSM record / Taiwan rule change — Yahoo:  </w:t>
      </w:r>
      <w:r>
        <w:rPr>
          <w:color w:val="1F3A5F"/>
          <w:sz w:val="18"/>
        </w:rPr>
        <w:t>https://finance.yahoo.com/quote/TSM/</w:t>
      </w:r>
    </w:p>
    <w:p>
      <w:pPr>
        <w:pStyle w:val="ListBullet"/>
      </w:pPr>
      <w:r>
        <w:rPr>
          <w:sz w:val="18"/>
        </w:rPr>
        <w:t xml:space="preserve">XOM 2026 +18% YTD — NAI500:  </w:t>
      </w:r>
      <w:r>
        <w:rPr>
          <w:color w:val="1F3A5F"/>
          <w:sz w:val="18"/>
        </w:rPr>
        <w:t>https://nai500.com/blog/2026/04/exxon-mobils-stock-surged-18-is-it-still-worth-buying-now/</w:t>
      </w:r>
    </w:p>
    <w:p>
      <w:pPr>
        <w:pStyle w:val="ListBullet"/>
      </w:pPr>
      <w:r>
        <w:rPr>
          <w:sz w:val="18"/>
        </w:rPr>
        <w:t xml:space="preserve">EOG / oil sector beneficiaries — The Globe and Mail:  </w:t>
      </w:r>
      <w:r>
        <w:rPr>
          <w:color w:val="1F3A5F"/>
          <w:sz w:val="18"/>
        </w:rPr>
        <w:t>https://www.theglobeandmail.com/investing/markets/stocks/XOM/pressreleases/740215/oil-price-back-to-the-glory-days-will-xom-eog-cop-gain/</w:t>
      </w:r>
    </w:p>
    <w:p>
      <w:pPr>
        <w:pStyle w:val="ListBullet"/>
      </w:pPr>
      <w:r>
        <w:rPr>
          <w:sz w:val="18"/>
        </w:rPr>
        <w:t xml:space="preserve">10Y yield latest — FRED DGS10:  </w:t>
      </w:r>
      <w:r>
        <w:rPr>
          <w:color w:val="1F3A5F"/>
          <w:sz w:val="18"/>
        </w:rPr>
        <w:t>https://fred.stlouisfed.org/series/DGS10</w:t>
      </w:r>
    </w:p>
    <w:p/>
    <w:p>
      <w:r>
        <w:rPr>
          <w:i/>
          <w:color w:val="555555"/>
          <w:sz w:val="16"/>
        </w:rPr>
        <w:t>Disclaimer: Automated pre-market portfolio report. Prices intraday/approximate. Past performance not indicative of future results. Pre-authorized wealth-management discretion consistent with the written investment policy.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