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36"/>
        </w:rPr>
        <w:t>DAILY PRE-MARKET PORTFOLIO REPORT</w:t>
      </w:r>
    </w:p>
    <w:p>
      <w:pPr>
        <w:jc w:val="center"/>
      </w:pPr>
      <w:r>
        <w:rPr>
          <w:i/>
          <w:sz w:val="24"/>
        </w:rPr>
        <w:t>Long-Term Growth Portfolio  |  April 28, 2026  |  FOMC Day-1 / V Earnings AMC / Energy Trigger Confirmed</w:t>
      </w:r>
    </w:p>
    <w:p/>
    <w:p>
      <w:pPr>
        <w:pStyle w:val="Heading1"/>
      </w:pPr>
      <w:r>
        <w:rPr>
          <w:color w:val="1F3A5F"/>
        </w:rPr>
        <w:t>1. Market Snapshot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312"/>
            <w:shd w:val="clear" w:color="auto" w:fill="1F3A5F"/>
          </w:tcPr>
          <w:p>
            <w:r>
              <w:rPr>
                <w:b/>
                <w:color w:val="FFFFFF"/>
              </w:rPr>
              <w:t>Index / Indicator</w:t>
            </w:r>
          </w:p>
        </w:tc>
        <w:tc>
          <w:tcPr>
            <w:tcW w:type="dxa" w:w="6768"/>
            <w:shd w:val="clear" w:color="auto" w:fill="1F3A5F"/>
          </w:tcPr>
          <w:p>
            <w:r>
              <w:rPr>
                <w:b/>
                <w:color w:val="FFFFFF"/>
              </w:rPr>
              <w:t>Level / Change (Apr 28 close)</w:t>
            </w:r>
          </w:p>
        </w:tc>
      </w:tr>
      <w:tr>
        <w:tc>
          <w:tcPr>
            <w:tcW w:type="dxa" w:w="3312"/>
          </w:tcPr>
          <w:p>
            <w:r>
              <w:t>S&amp;P 500</w:t>
            </w:r>
          </w:p>
        </w:tc>
        <w:tc>
          <w:tcPr>
            <w:tcW w:type="dxa" w:w="6768"/>
          </w:tcPr>
          <w:p>
            <w:r>
              <w:t>7,138.80  (−0.49%) — pulled back from record on AI growth jitters</w:t>
            </w:r>
          </w:p>
        </w:tc>
      </w:tr>
      <w:tr>
        <w:tc>
          <w:tcPr>
            <w:tcW w:type="dxa" w:w="3312"/>
          </w:tcPr>
          <w:p>
            <w:r>
              <w:t>Nasdaq Composite</w:t>
            </w:r>
          </w:p>
        </w:tc>
        <w:tc>
          <w:tcPr>
            <w:tcW w:type="dxa" w:w="6768"/>
          </w:tcPr>
          <w:p>
            <w:r>
              <w:t>24,663.80  (−0.90%) — chip &amp; cloud sell-off on OpenAI miss report</w:t>
            </w:r>
          </w:p>
        </w:tc>
      </w:tr>
      <w:tr>
        <w:tc>
          <w:tcPr>
            <w:tcW w:type="dxa" w:w="3312"/>
          </w:tcPr>
          <w:p>
            <w:r>
              <w:t>Dow Jones Industrial Avg.</w:t>
            </w:r>
          </w:p>
        </w:tc>
        <w:tc>
          <w:tcPr>
            <w:tcW w:type="dxa" w:w="6768"/>
          </w:tcPr>
          <w:p>
            <w:r>
              <w:t>49,141.90  (−0.05%) — energy/value outperformed</w:t>
            </w:r>
          </w:p>
        </w:tc>
      </w:tr>
      <w:tr>
        <w:tc>
          <w:tcPr>
            <w:tcW w:type="dxa" w:w="3312"/>
          </w:tcPr>
          <w:p>
            <w:r>
              <w:t>VIX</w:t>
            </w:r>
          </w:p>
        </w:tc>
        <w:tc>
          <w:tcPr>
            <w:tcW w:type="dxa" w:w="6768"/>
          </w:tcPr>
          <w:p>
            <w:r>
              <w:t>17.83  (−1.05%) — paradoxically lower despite tech weakness</w:t>
            </w:r>
          </w:p>
        </w:tc>
      </w:tr>
      <w:tr>
        <w:tc>
          <w:tcPr>
            <w:tcW w:type="dxa" w:w="3312"/>
          </w:tcPr>
          <w:p>
            <w:r>
              <w:t>10-Year Treasury Yield</w:t>
            </w:r>
          </w:p>
        </w:tc>
        <w:tc>
          <w:tcPr>
            <w:tcW w:type="dxa" w:w="6768"/>
          </w:tcPr>
          <w:p>
            <w:r>
              <w:t>≈ 4.30%</w:t>
            </w:r>
          </w:p>
        </w:tc>
      </w:tr>
    </w:tbl>
    <w:p>
      <w:r>
        <w:rPr>
          <w:b w:val="0"/>
          <w:sz w:val="20"/>
        </w:rPr>
        <w:t>WTI Crude:  ≈ $99-100 / bbl (+3% on day; testing $100 — 7th consecutive session of gains; 3rd consecutive close &gt;$95). Brent ≈ $107. Strait of Hormuz week 9; Trump cancelled negotiations.</w:t>
      </w:r>
    </w:p>
    <w:p>
      <w:r>
        <w:rPr>
          <w:b w:val="0"/>
          <w:sz w:val="20"/>
        </w:rPr>
        <w:t>Headlines:  (1) WSJ: OpenAI missed revenue and weekly active user targets (sub-1B WAU); CFO Sarah Friar reportedly worried OpenAI may not afford future compute commitments. ORCL ($300B Stargate counterparty), NVDA, AVGO, MSFT all sold off. (2) FOMC Day 1 underway; decision Wednesday 2pm ET. (3) Visa Q2 fiscal earnings AMC: BEAT (rev +17% to $11.2B — fastest since 2013; EPS $3.31 +20%; FY guide raised; $20B new buyback). (4) Energy continues run; XOM ~$150-152, +18% YTD.</w:t>
      </w:r>
    </w:p>
    <w:p>
      <w:pPr>
        <w:pStyle w:val="Heading1"/>
      </w:pPr>
      <w:r>
        <w:rPr>
          <w:color w:val="1F3A5F"/>
        </w:rPr>
        <w:t>2. Scan 1 — Holdings Review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008"/>
            <w:shd w:val="clear" w:color="auto" w:fill="1F3A5F"/>
          </w:tcPr>
          <w:p>
            <w:r>
              <w:rPr>
                <w:b/>
                <w:color w:val="FFFFFF"/>
                <w:sz w:val="18"/>
              </w:rPr>
              <w:t>Ticker</w:t>
            </w:r>
          </w:p>
        </w:tc>
        <w:tc>
          <w:tcPr>
            <w:tcW w:type="dxa" w:w="6192"/>
            <w:shd w:val="clear" w:color="auto" w:fill="1F3A5F"/>
          </w:tcPr>
          <w:p>
            <w:r>
              <w:rPr>
                <w:b/>
                <w:color w:val="FFFFFF"/>
                <w:sz w:val="18"/>
              </w:rPr>
              <w:t>Headline / Catalyst</w:t>
            </w:r>
          </w:p>
        </w:tc>
        <w:tc>
          <w:tcPr>
            <w:tcW w:type="dxa" w:w="1584"/>
            <w:shd w:val="clear" w:color="auto" w:fill="1F3A5F"/>
          </w:tcPr>
          <w:p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1296"/>
            <w:shd w:val="clear" w:color="auto" w:fill="1F3A5F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V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FISCAL Q2 BEAT (AMC): Rev $11.2B +17% (fastest since 2013); EPS $3.31 +20%; FY guide raised to low-double / low-teens; $20B new buyback authorization on top of $7.9B Q2 buybacks.</w:t>
            </w:r>
          </w:p>
        </w:tc>
        <w:tc>
          <w:tcPr>
            <w:tcW w:type="dxa" w:w="1584"/>
            <w:shd w:val="clear" w:color="auto" w:fill="D9EAD3"/>
          </w:tcPr>
          <w:p>
            <w:r>
              <w:rPr>
                <w:sz w:val="18"/>
              </w:rPr>
              <w:t>STRONGLY POSITIVE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HOLD 3.0% — re-rate higher; consider +0.5% on dip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ORCL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Down on WSJ-OpenAI miss report. ORCL is the $300B Stargate compute counterparty. RPO ($553B) is uniquely concentrated in this one customer.</w:t>
            </w:r>
          </w:p>
        </w:tc>
        <w:tc>
          <w:tcPr>
            <w:tcW w:type="dxa" w:w="1584"/>
            <w:shd w:val="clear" w:color="auto" w:fill="F4CCCC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HOLD 3.5% — monitor; do NOT add despite weakness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NVDA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Down with tech complex on OpenAI report; offset by demand from non-OpenAI hyperscalers (AMZN/META/GOOGL).</w:t>
            </w:r>
          </w:p>
        </w:tc>
        <w:tc>
          <w:tcPr>
            <w:tcW w:type="dxa" w:w="1584"/>
            <w:shd w:val="clear" w:color="auto" w:fill="F4CCCC"/>
          </w:tcPr>
          <w:p>
            <w:r>
              <w:rPr>
                <w:sz w:val="18"/>
              </w:rPr>
              <w:t>NEGATIVE (day) / NEUTRAL (thesis)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HOLD 6.5%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AVGO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Down with chip complex; AI ASIC backlog ($73B) intact; Meta/Google/Anthropic deals not touched.</w:t>
            </w:r>
          </w:p>
        </w:tc>
        <w:tc>
          <w:tcPr>
            <w:tcW w:type="dxa" w:w="1584"/>
            <w:shd w:val="clear" w:color="auto" w:fill="F4CCCC"/>
          </w:tcPr>
          <w:p>
            <w:r>
              <w:rPr>
                <w:sz w:val="18"/>
              </w:rPr>
              <w:t>NEGATIVE (day) / NEUTRAL (thesis)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HOLD 4.0%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MSFT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Down on OpenAI miss + lingering exclusivity loss. Earnings tomorrow AMC. Azure capacity / Copilot ARR are the swing.</w:t>
            </w:r>
          </w:p>
        </w:tc>
        <w:tc>
          <w:tcPr>
            <w:tcW w:type="dxa" w:w="1584"/>
            <w:shd w:val="clear" w:color="auto" w:fill="F4CCCC"/>
          </w:tcPr>
          <w:p>
            <w:r>
              <w:rPr>
                <w:sz w:val="18"/>
              </w:rPr>
              <w:t>NEGATIVE (sentiment)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HOLD 4.0% into earnings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AMZN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Q1 earnings tomorrow AMC; AWS growth &gt;20% expected; $200B 2026 capex commentary the tell.</w:t>
            </w:r>
          </w:p>
        </w:tc>
        <w:tc>
          <w:tcPr>
            <w:tcW w:type="dxa" w:w="1584"/>
            <w:shd w:val="clear" w:color="auto" w:fill="FFF2CC"/>
          </w:tcPr>
          <w:p>
            <w:r>
              <w:rPr>
                <w:sz w:val="18"/>
              </w:rPr>
              <w:t>NEUTRAL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HOLD 5.5% into earnings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GOOGL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Q1 earnings tomorrow AMC; Cloud growth potentially +48%; Operating margin &gt;17% the bull case.</w:t>
            </w:r>
          </w:p>
        </w:tc>
        <w:tc>
          <w:tcPr>
            <w:tcW w:type="dxa" w:w="1584"/>
            <w:shd w:val="clear" w:color="auto" w:fill="FFF2CC"/>
          </w:tcPr>
          <w:p>
            <w:r>
              <w:rPr>
                <w:sz w:val="18"/>
              </w:rPr>
              <w:t>NEUTRAL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HOLD 3.0% into earnings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META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Q1 earnings tomorrow AMC; ad revenue +30% expected; capex guide $115-135B + new MTIA 450 chip in focus.</w:t>
            </w:r>
          </w:p>
        </w:tc>
        <w:tc>
          <w:tcPr>
            <w:tcW w:type="dxa" w:w="1584"/>
            <w:shd w:val="clear" w:color="auto" w:fill="FFF2CC"/>
          </w:tcPr>
          <w:p>
            <w:r>
              <w:rPr>
                <w:sz w:val="18"/>
              </w:rPr>
              <w:t>NEUTRAL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HOLD 4.5% into earnings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XOM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Stock ~$150-152 (+18% YTD); WTI 3rd consecutive close &gt;$95. Q1 earnings May 1.</w:t>
            </w:r>
          </w:p>
        </w:tc>
        <w:tc>
          <w:tcPr>
            <w:tcW w:type="dxa" w:w="1584"/>
            <w:shd w:val="clear" w:color="auto" w:fill="D9EAD3"/>
          </w:tcPr>
          <w:p>
            <w:r>
              <w:rPr>
                <w:sz w:val="18"/>
              </w:rPr>
              <w:t>STRONGLY POSITIVE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REBUILD 2.5% → 3.0% — ARMED TRIGGER FIRES TODAY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EOG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Same WTI threshold met; Q1 earnings May 6.</w:t>
            </w:r>
          </w:p>
        </w:tc>
        <w:tc>
          <w:tcPr>
            <w:tcW w:type="dxa" w:w="1584"/>
            <w:shd w:val="clear" w:color="auto" w:fill="D9EAD3"/>
          </w:tcPr>
          <w:p>
            <w:r>
              <w:rPr>
                <w:sz w:val="18"/>
              </w:rPr>
              <w:t>STRONGLY POSITIVE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REBUILD 2.0% → 2.5% — ARMED TRIGGER FIRES TODAY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INTC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Off ATH but holding most of Friday's +24% gain. New entry at 1.5% well in profit.</w:t>
            </w:r>
          </w:p>
        </w:tc>
        <w:tc>
          <w:tcPr>
            <w:tcW w:type="dxa" w:w="1584"/>
            <w:shd w:val="clear" w:color="auto" w:fill="D9EAD3"/>
          </w:tcPr>
          <w:p>
            <w:r>
              <w:rPr>
                <w:sz w:val="18"/>
              </w:rPr>
              <w:t>POSITIVE (held)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HOLD 1.5%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PLTR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YTD weakness persists; earnings May 4.</w:t>
            </w:r>
          </w:p>
        </w:tc>
        <w:tc>
          <w:tcPr>
            <w:tcW w:type="dxa" w:w="1584"/>
            <w:shd w:val="clear" w:color="auto" w:fill="FFF2CC"/>
          </w:tcPr>
          <w:p>
            <w:r>
              <w:rPr>
                <w:sz w:val="18"/>
              </w:rPr>
              <w:t>MIXED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HOLD 3.0%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TSM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Off recent record area on chip-sector pressure but YTD gains intact.</w:t>
            </w:r>
          </w:p>
        </w:tc>
        <w:tc>
          <w:tcPr>
            <w:tcW w:type="dxa" w:w="1584"/>
            <w:shd w:val="clear" w:color="auto" w:fill="D9EAD3"/>
          </w:tcPr>
          <w:p>
            <w:r>
              <w:rPr>
                <w:sz w:val="18"/>
              </w:rPr>
              <w:t>POSITIVE (cooling)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HOLD 3.0% — pullback approaching add-zone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MU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Off ATH on chip pressure; HBM4 ramp story unchanged.</w:t>
            </w:r>
          </w:p>
        </w:tc>
        <w:tc>
          <w:tcPr>
            <w:tcW w:type="dxa" w:w="1584"/>
            <w:shd w:val="clear" w:color="auto" w:fill="D9EAD3"/>
          </w:tcPr>
          <w:p>
            <w:r>
              <w:rPr>
                <w:sz w:val="18"/>
              </w:rPr>
              <w:t>POSITIVE (cooling)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HOLD 2.5% — pullback approaching add-zone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LLY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Earnings Apr 30 AMC. Wegovy/Zepbound script gap concern; Hims&amp;Hers distribution offset.</w:t>
            </w:r>
          </w:p>
        </w:tc>
        <w:tc>
          <w:tcPr>
            <w:tcW w:type="dxa" w:w="1584"/>
            <w:shd w:val="clear" w:color="auto" w:fill="F4CCCC"/>
          </w:tcPr>
          <w:p>
            <w:r>
              <w:rPr>
                <w:sz w:val="18"/>
              </w:rPr>
              <w:t>NEUTRAL/NEGATIVE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HOLD 4.5% into earnings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ABBV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Earnings Apr 30. NC campus + Canaccord Buy.</w:t>
            </w:r>
          </w:p>
        </w:tc>
        <w:tc>
          <w:tcPr>
            <w:tcW w:type="dxa" w:w="1584"/>
            <w:shd w:val="clear" w:color="auto" w:fill="D9EAD3"/>
          </w:tcPr>
          <w:p>
            <w:r>
              <w:rPr>
                <w:sz w:val="18"/>
              </w:rPr>
              <w:t>POSITIVE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HOLD 1.5% into earnings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UNH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Q1 turnaround thesis intact post Apr-21 print.</w:t>
            </w:r>
          </w:p>
        </w:tc>
        <w:tc>
          <w:tcPr>
            <w:tcW w:type="dxa" w:w="1584"/>
            <w:shd w:val="clear" w:color="auto" w:fill="D9EAD3"/>
          </w:tcPr>
          <w:p>
            <w:r>
              <w:rPr>
                <w:sz w:val="18"/>
              </w:rPr>
              <w:t>POSITIVE (lagging)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HOLD 3.0%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JPM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Names V top fintech pick (validated by V's print).</w:t>
            </w:r>
          </w:p>
        </w:tc>
        <w:tc>
          <w:tcPr>
            <w:tcW w:type="dxa" w:w="1584"/>
            <w:shd w:val="clear" w:color="auto" w:fill="D9EAD3"/>
          </w:tcPr>
          <w:p>
            <w:r>
              <w:rPr>
                <w:sz w:val="18"/>
              </w:rPr>
              <w:t>POSITIVE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HOLD 4.5%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CRWD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KeyBanc Buy $525 standing; no fresh news.</w:t>
            </w:r>
          </w:p>
        </w:tc>
        <w:tc>
          <w:tcPr>
            <w:tcW w:type="dxa" w:w="1584"/>
            <w:shd w:val="clear" w:color="auto" w:fill="D9EAD3"/>
          </w:tcPr>
          <w:p>
            <w:r>
              <w:rPr>
                <w:sz w:val="18"/>
              </w:rPr>
              <w:t>POSITIVE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HOLD 1.5%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PANW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Berenberg PT $215; cyber sector intact.</w:t>
            </w:r>
          </w:p>
        </w:tc>
        <w:tc>
          <w:tcPr>
            <w:tcW w:type="dxa" w:w="1584"/>
            <w:shd w:val="clear" w:color="auto" w:fill="D9EAD3"/>
          </w:tcPr>
          <w:p>
            <w:r>
              <w:rPr>
                <w:sz w:val="18"/>
              </w:rPr>
              <w:t>POSITIVE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HOLD 4.0%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NEE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Post-Q1 beat; renewables thesis intact.</w:t>
            </w:r>
          </w:p>
        </w:tc>
        <w:tc>
          <w:tcPr>
            <w:tcW w:type="dxa" w:w="1584"/>
            <w:shd w:val="clear" w:color="auto" w:fill="D9EAD3"/>
          </w:tcPr>
          <w:p>
            <w:r>
              <w:rPr>
                <w:sz w:val="18"/>
              </w:rPr>
              <w:t>POSITIVE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HOLD 2.0% — opportunistic +0.5% watch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DASH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Oil at $100 is a meaningful margin headwind. Watch closely.</w:t>
            </w:r>
          </w:p>
        </w:tc>
        <w:tc>
          <w:tcPr>
            <w:tcW w:type="dxa" w:w="1584"/>
            <w:shd w:val="clear" w:color="auto" w:fill="F4CCCC"/>
          </w:tcPr>
          <w:p>
            <w:r>
              <w:rPr>
                <w:sz w:val="18"/>
              </w:rPr>
              <w:t>NEGATIVE (oil)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HOLD 2.0% — monitor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NFLX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Q1 already digested; no fresh catalyst.</w:t>
            </w:r>
          </w:p>
        </w:tc>
        <w:tc>
          <w:tcPr>
            <w:tcW w:type="dxa" w:w="1584"/>
            <w:shd w:val="clear" w:color="auto" w:fill="FFF2CC"/>
          </w:tcPr>
          <w:p>
            <w:r>
              <w:rPr>
                <w:sz w:val="18"/>
              </w:rPr>
              <w:t>NEUTRAL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HOLD 1.5%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COST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Sales / div / Bernstein Buy intact.</w:t>
            </w:r>
          </w:p>
        </w:tc>
        <w:tc>
          <w:tcPr>
            <w:tcW w:type="dxa" w:w="1584"/>
            <w:shd w:val="clear" w:color="auto" w:fill="D9EAD3"/>
          </w:tcPr>
          <w:p>
            <w:r>
              <w:rPr>
                <w:sz w:val="18"/>
              </w:rPr>
              <w:t>POSITIVE (capped)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HOLD 2.5%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QQQ/VUG/SCHD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ETFs pulled back with index; no idiosyncratic moves.</w:t>
            </w:r>
          </w:p>
        </w:tc>
        <w:tc>
          <w:tcPr>
            <w:tcW w:type="dxa" w:w="1584"/>
            <w:shd w:val="clear" w:color="auto" w:fill="FFF2CC"/>
          </w:tcPr>
          <w:p>
            <w:r>
              <w:rPr>
                <w:sz w:val="18"/>
              </w:rPr>
              <w:t>NEUTRAL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HOLD</w:t>
            </w:r>
          </w:p>
        </w:tc>
      </w:tr>
    </w:tbl>
    <w:p>
      <w:pPr>
        <w:pStyle w:val="Heading1"/>
      </w:pPr>
      <w:r>
        <w:rPr>
          <w:color w:val="1F3A5F"/>
        </w:rPr>
        <w:t>3. Scan 2 — Watchlist &amp; Trigger Status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296"/>
            <w:shd w:val="clear" w:color="auto" w:fill="1F3A5F"/>
          </w:tcPr>
          <w:p>
            <w:r>
              <w:rPr>
                <w:b/>
                <w:color w:val="FFFFFF"/>
                <w:sz w:val="18"/>
              </w:rPr>
              <w:t>Ticker</w:t>
            </w:r>
          </w:p>
        </w:tc>
        <w:tc>
          <w:tcPr>
            <w:tcW w:type="dxa" w:w="7344"/>
            <w:shd w:val="clear" w:color="auto" w:fill="1F3A5F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440"/>
            <w:shd w:val="clear" w:color="auto" w:fill="1F3A5F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1296"/>
            <w:shd w:val="clear" w:color="auto" w:fill="D9EAD3"/>
          </w:tcPr>
          <w:p>
            <w:r>
              <w:rPr>
                <w:sz w:val="18"/>
              </w:rPr>
              <w:t>XOM (rebuild)</w:t>
            </w:r>
          </w:p>
        </w:tc>
        <w:tc>
          <w:tcPr>
            <w:tcW w:type="dxa" w:w="7344"/>
            <w:shd w:val="clear" w:color="auto" w:fill="D9EAD3"/>
          </w:tcPr>
          <w:p>
            <w:r>
              <w:rPr>
                <w:sz w:val="18"/>
              </w:rPr>
              <w:t>Apr 24, 27, 28 all closed &gt;$95 WTI; 3-of-3 sustained closes met. Trigger CONFIRMED.</w:t>
            </w:r>
          </w:p>
        </w:tc>
        <w:tc>
          <w:tcPr>
            <w:tcW w:type="dxa" w:w="1440"/>
            <w:shd w:val="clear" w:color="auto" w:fill="D9EAD3"/>
          </w:tcPr>
          <w:p>
            <w:r>
              <w:rPr>
                <w:sz w:val="18"/>
              </w:rPr>
              <w:t>FIRE: 2.5% → 3.0% (+0.5%)</w:t>
            </w:r>
          </w:p>
        </w:tc>
      </w:tr>
      <w:tr>
        <w:tc>
          <w:tcPr>
            <w:tcW w:type="dxa" w:w="1296"/>
            <w:shd w:val="clear" w:color="auto" w:fill="D9EAD3"/>
          </w:tcPr>
          <w:p>
            <w:r>
              <w:rPr>
                <w:sz w:val="18"/>
              </w:rPr>
              <w:t>EOG (rebuild)</w:t>
            </w:r>
          </w:p>
        </w:tc>
        <w:tc>
          <w:tcPr>
            <w:tcW w:type="dxa" w:w="7344"/>
            <w:shd w:val="clear" w:color="auto" w:fill="D9EAD3"/>
          </w:tcPr>
          <w:p>
            <w:r>
              <w:rPr>
                <w:sz w:val="18"/>
              </w:rPr>
              <w:t>Same criteria met.</w:t>
            </w:r>
          </w:p>
        </w:tc>
        <w:tc>
          <w:tcPr>
            <w:tcW w:type="dxa" w:w="1440"/>
            <w:shd w:val="clear" w:color="auto" w:fill="D9EAD3"/>
          </w:tcPr>
          <w:p>
            <w:r>
              <w:rPr>
                <w:sz w:val="18"/>
              </w:rPr>
              <w:t>FIRE: 2.0% → 2.5% (+0.5%)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V (existing — add watch)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Q2 BEAT validates thesis. Stock could open well-bid.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WATCH +0.5% on any 2-3% pullback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MU/TSM/NEE/UNH (add watches)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Tech-complex pullback approaching but cash now at floor — capacity constrained.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MONITOR — no capacity to add today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SPOT (watchlist)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Q1 reported Apr 28 AMC (earlier than Apr-29 schedule confusion).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WAIT for results before any entry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ARM / GS / WM / MDB / ISRG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No triggering news.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MONITOR</w:t>
            </w:r>
          </w:p>
        </w:tc>
      </w:tr>
    </w:tbl>
    <w:p>
      <w:pPr>
        <w:pStyle w:val="Heading1"/>
      </w:pPr>
      <w:r>
        <w:rPr>
          <w:color w:val="1F3A5F"/>
        </w:rPr>
        <w:t>4. Cash Recommendation</w:t>
      </w:r>
    </w:p>
    <w:p>
      <w:r>
        <w:rPr>
          <w:b w:val="0"/>
          <w:sz w:val="22"/>
        </w:rPr>
        <w:t>Pre-action 16.0%  →  Post-action 15.0% (at hard floor)  |  VIX 17.83  |  No defensive trigger.</w:t>
      </w:r>
    </w:p>
    <w:p>
      <w:r>
        <w:rPr>
          <w:b/>
          <w:sz w:val="22"/>
        </w:rPr>
        <w:t>RECOMMENDATION: EXECUTE THE TWO ARMED ENERGY TRIGGERS (XOM +0.5%, EOG +0.5%). Combined deployment 1.0% lands cash exactly on the 15.0% floor. NO further additions today regardless of dips elsewhere — cash is at its hard floor and we still face FOMC tomorrow + four mega-cap prints AMC + AAPL/LLY/ABBV Thursday. The plan was built specifically for this case.</w:t>
      </w:r>
    </w:p>
    <w:p>
      <w:pPr>
        <w:pStyle w:val="Heading1"/>
      </w:pPr>
      <w:r>
        <w:rPr>
          <w:color w:val="1F3A5F"/>
        </w:rPr>
        <w:t>5. Pending Catalysts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4608"/>
            <w:shd w:val="clear" w:color="auto" w:fill="1F3A5F"/>
          </w:tcPr>
          <w:p>
            <w:r>
              <w:rPr>
                <w:b/>
                <w:color w:val="FFFFFF"/>
                <w:sz w:val="18"/>
              </w:rPr>
              <w:t>Catalyst</w:t>
            </w:r>
          </w:p>
        </w:tc>
        <w:tc>
          <w:tcPr>
            <w:tcW w:type="dxa" w:w="2160"/>
            <w:shd w:val="clear" w:color="auto" w:fill="1F3A5F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312"/>
            <w:shd w:val="clear" w:color="auto" w:fill="1F3A5F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4608"/>
            <w:shd w:val="clear" w:color="auto" w:fill="D9EAD3"/>
          </w:tcPr>
          <w:p>
            <w:r>
              <w:rPr>
                <w:sz w:val="18"/>
              </w:rPr>
              <w:t>XOM rebuild on sustained WTI &gt;$95</w:t>
            </w:r>
          </w:p>
        </w:tc>
        <w:tc>
          <w:tcPr>
            <w:tcW w:type="dxa" w:w="2160"/>
            <w:shd w:val="clear" w:color="auto" w:fill="D9EAD3"/>
          </w:tcPr>
          <w:p>
            <w:r>
              <w:rPr>
                <w:sz w:val="18"/>
              </w:rPr>
              <w:t>FIRED</w:t>
            </w:r>
          </w:p>
        </w:tc>
        <w:tc>
          <w:tcPr>
            <w:tcW w:type="dxa" w:w="3312"/>
            <w:shd w:val="clear" w:color="auto" w:fill="D9EAD3"/>
          </w:tcPr>
          <w:p>
            <w:r>
              <w:rPr>
                <w:sz w:val="18"/>
              </w:rPr>
              <w:t>Executing: 2.5% → 3.0%</w:t>
            </w:r>
          </w:p>
        </w:tc>
      </w:tr>
      <w:tr>
        <w:tc>
          <w:tcPr>
            <w:tcW w:type="dxa" w:w="4608"/>
            <w:shd w:val="clear" w:color="auto" w:fill="D9EAD3"/>
          </w:tcPr>
          <w:p>
            <w:r>
              <w:rPr>
                <w:sz w:val="18"/>
              </w:rPr>
              <w:t>EOG rebuild on sustained WTI &gt;$95</w:t>
            </w:r>
          </w:p>
        </w:tc>
        <w:tc>
          <w:tcPr>
            <w:tcW w:type="dxa" w:w="2160"/>
            <w:shd w:val="clear" w:color="auto" w:fill="D9EAD3"/>
          </w:tcPr>
          <w:p>
            <w:r>
              <w:rPr>
                <w:sz w:val="18"/>
              </w:rPr>
              <w:t>FIRED</w:t>
            </w:r>
          </w:p>
        </w:tc>
        <w:tc>
          <w:tcPr>
            <w:tcW w:type="dxa" w:w="3312"/>
            <w:shd w:val="clear" w:color="auto" w:fill="D9EAD3"/>
          </w:tcPr>
          <w:p>
            <w:r>
              <w:rPr>
                <w:sz w:val="18"/>
              </w:rPr>
              <w:t>Executing: 2.0% → 2.5%</w:t>
            </w:r>
          </w:p>
        </w:tc>
      </w:tr>
      <w:tr>
        <w:tc>
          <w:tcPr>
            <w:tcW w:type="dxa" w:w="4608"/>
            <w:shd w:val="clear" w:color="auto" w:fill="D9EAD3"/>
          </w:tcPr>
          <w:p>
            <w:r>
              <w:rPr>
                <w:sz w:val="18"/>
              </w:rPr>
              <w:t>V earnings (Apr 28 AMC)</w:t>
            </w:r>
          </w:p>
        </w:tc>
        <w:tc>
          <w:tcPr>
            <w:tcW w:type="dxa" w:w="2160"/>
            <w:shd w:val="clear" w:color="auto" w:fill="D9EAD3"/>
          </w:tcPr>
          <w:p>
            <w:r>
              <w:rPr>
                <w:sz w:val="18"/>
              </w:rPr>
              <w:t>RESULT</w:t>
            </w:r>
          </w:p>
        </w:tc>
        <w:tc>
          <w:tcPr>
            <w:tcW w:type="dxa" w:w="3312"/>
            <w:shd w:val="clear" w:color="auto" w:fill="D9EAD3"/>
          </w:tcPr>
          <w:p>
            <w:r>
              <w:rPr>
                <w:sz w:val="18"/>
              </w:rPr>
              <w:t>BEAT: rev +17%, EPS +20%, $20B buyback, raised guide</w:t>
            </w:r>
          </w:p>
        </w:tc>
      </w:tr>
      <w:tr>
        <w:tc>
          <w:tcPr>
            <w:tcW w:type="dxa" w:w="4608"/>
          </w:tcPr>
          <w:p>
            <w:r>
              <w:rPr>
                <w:sz w:val="18"/>
              </w:rPr>
              <w:t>FOMC (Apr 29)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TOMORROW 2pm 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99.9% odds of HOLD at 3.50-3.75%; possibly Powell's last presser</w:t>
            </w:r>
          </w:p>
        </w:tc>
      </w:tr>
      <w:tr>
        <w:tc>
          <w:tcPr>
            <w:tcW w:type="dxa" w:w="4608"/>
          </w:tcPr>
          <w:p>
            <w:r>
              <w:rPr>
                <w:sz w:val="18"/>
              </w:rPr>
              <w:t>MSFT/META/GOOGL/AMZN earnings (Apr 29 AMC)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TOMORROW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$650B combined 2026 capex on the line</w:t>
            </w:r>
          </w:p>
        </w:tc>
      </w:tr>
      <w:tr>
        <w:tc>
          <w:tcPr>
            <w:tcW w:type="dxa" w:w="4608"/>
          </w:tcPr>
          <w:p>
            <w:r>
              <w:rPr>
                <w:sz w:val="18"/>
              </w:rPr>
              <w:t>AAPL / ABBV / LLY (Apr 30)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WATCH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Different days within Apr 30; AAPL the macro tell</w:t>
            </w:r>
          </w:p>
        </w:tc>
      </w:tr>
      <w:tr>
        <w:tc>
          <w:tcPr>
            <w:tcW w:type="dxa" w:w="4608"/>
          </w:tcPr>
          <w:p>
            <w:r>
              <w:rPr>
                <w:sz w:val="18"/>
              </w:rPr>
              <w:t>XOM Q1 (May 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WATCH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Permian volumes / cash returns</w:t>
            </w:r>
          </w:p>
        </w:tc>
      </w:tr>
      <w:tr>
        <w:tc>
          <w:tcPr>
            <w:tcW w:type="dxa" w:w="4608"/>
          </w:tcPr>
          <w:p>
            <w:r>
              <w:rPr>
                <w:sz w:val="18"/>
              </w:rPr>
              <w:t>MU/TSM/NEE/UNH opportunistic adds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MONITOR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Cash at floor — wait for sell-discipline trims or new cycle</w:t>
            </w:r>
          </w:p>
        </w:tc>
      </w:tr>
    </w:tbl>
    <w:p>
      <w:pPr>
        <w:pStyle w:val="Heading1"/>
      </w:pPr>
      <w:r>
        <w:rPr>
          <w:color w:val="1F3A5F"/>
        </w:rPr>
        <w:t>6. Recommended Weight Changes (Today)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008"/>
            <w:shd w:val="clear" w:color="auto" w:fill="1F3A5F"/>
          </w:tcPr>
          <w:p>
            <w:r>
              <w:rPr>
                <w:b/>
                <w:color w:val="FFFFFF"/>
              </w:rPr>
              <w:t>Ticker</w:t>
            </w:r>
          </w:p>
        </w:tc>
        <w:tc>
          <w:tcPr>
            <w:tcW w:type="dxa" w:w="3312"/>
            <w:shd w:val="clear" w:color="auto" w:fill="1F3A5F"/>
          </w:tcPr>
          <w:p>
            <w:r>
              <w:rPr>
                <w:b/>
                <w:color w:val="FFFFFF"/>
              </w:rPr>
              <w:t>Sector</w:t>
            </w:r>
          </w:p>
        </w:tc>
        <w:tc>
          <w:tcPr>
            <w:tcW w:type="dxa" w:w="1440"/>
            <w:shd w:val="clear" w:color="auto" w:fill="1F3A5F"/>
          </w:tcPr>
          <w:p>
            <w:r>
              <w:rPr>
                <w:b/>
                <w:color w:val="FFFFFF"/>
              </w:rPr>
              <w:t>Prior</w:t>
            </w:r>
          </w:p>
        </w:tc>
        <w:tc>
          <w:tcPr>
            <w:tcW w:type="dxa" w:w="1440"/>
            <w:shd w:val="clear" w:color="auto" w:fill="1F3A5F"/>
          </w:tcPr>
          <w:p>
            <w:r>
              <w:rPr>
                <w:b/>
                <w:color w:val="FFFFFF"/>
              </w:rPr>
              <w:t>New</w:t>
            </w:r>
          </w:p>
        </w:tc>
        <w:tc>
          <w:tcPr>
            <w:tcW w:type="dxa" w:w="2880"/>
            <w:shd w:val="clear" w:color="auto" w:fill="1F3A5F"/>
          </w:tcPr>
          <w:p>
            <w:r>
              <w:rPr>
                <w:b/>
                <w:color w:val="FFFFFF"/>
              </w:rPr>
              <w:t>Rationale</w:t>
            </w:r>
          </w:p>
        </w:tc>
      </w:tr>
      <w:tr>
        <w:tc>
          <w:tcPr>
            <w:tcW w:type="dxa" w:w="1008"/>
          </w:tcPr>
          <w:p>
            <w:r>
              <w:t>XOM</w:t>
            </w:r>
          </w:p>
        </w:tc>
        <w:tc>
          <w:tcPr>
            <w:tcW w:type="dxa" w:w="3312"/>
          </w:tcPr>
          <w:p>
            <w:r>
              <w:t>Energy – Integrated Oil &amp; Gas</w:t>
            </w:r>
          </w:p>
        </w:tc>
        <w:tc>
          <w:tcPr>
            <w:tcW w:type="dxa" w:w="1440"/>
          </w:tcPr>
          <w:p>
            <w:r>
              <w:t>2.5%</w:t>
            </w:r>
          </w:p>
        </w:tc>
        <w:tc>
          <w:tcPr>
            <w:tcW w:type="dxa" w:w="1440"/>
          </w:tcPr>
          <w:p>
            <w:r>
              <w:t>3.0%</w:t>
            </w:r>
          </w:p>
        </w:tc>
        <w:tc>
          <w:tcPr>
            <w:tcW w:type="dxa" w:w="2880"/>
          </w:tcPr>
          <w:p>
            <w:r>
              <w:t>Rebuild — 3-day WTI &gt;$95 trigger met (Apr 24, 27, 28)</w:t>
            </w:r>
          </w:p>
        </w:tc>
      </w:tr>
      <w:tr>
        <w:tc>
          <w:tcPr>
            <w:tcW w:type="dxa" w:w="1008"/>
          </w:tcPr>
          <w:p>
            <w:r>
              <w:t>EOG</w:t>
            </w:r>
          </w:p>
        </w:tc>
        <w:tc>
          <w:tcPr>
            <w:tcW w:type="dxa" w:w="3312"/>
          </w:tcPr>
          <w:p>
            <w:r>
              <w:t>Energy – E&amp;P</w:t>
            </w:r>
          </w:p>
        </w:tc>
        <w:tc>
          <w:tcPr>
            <w:tcW w:type="dxa" w:w="1440"/>
          </w:tcPr>
          <w:p>
            <w:r>
              <w:t>2.0%</w:t>
            </w:r>
          </w:p>
        </w:tc>
        <w:tc>
          <w:tcPr>
            <w:tcW w:type="dxa" w:w="1440"/>
          </w:tcPr>
          <w:p>
            <w:r>
              <w:t>2.5%</w:t>
            </w:r>
          </w:p>
        </w:tc>
        <w:tc>
          <w:tcPr>
            <w:tcW w:type="dxa" w:w="2880"/>
          </w:tcPr>
          <w:p>
            <w:r>
              <w:t>Rebuild — same trigger; restore pre-Apr-9 reduction</w:t>
            </w:r>
          </w:p>
        </w:tc>
      </w:tr>
      <w:tr>
        <w:tc>
          <w:tcPr>
            <w:tcW w:type="dxa" w:w="1008"/>
          </w:tcPr>
          <w:p>
            <w:r>
              <w:t>CASH</w:t>
            </w:r>
          </w:p>
        </w:tc>
        <w:tc>
          <w:tcPr>
            <w:tcW w:type="dxa" w:w="3312"/>
          </w:tcPr>
          <w:p>
            <w:r>
              <w:t>Cash &amp; Equivalents</w:t>
            </w:r>
          </w:p>
        </w:tc>
        <w:tc>
          <w:tcPr>
            <w:tcW w:type="dxa" w:w="1440"/>
          </w:tcPr>
          <w:p>
            <w:r>
              <w:t>16.0%</w:t>
            </w:r>
          </w:p>
        </w:tc>
        <w:tc>
          <w:tcPr>
            <w:tcW w:type="dxa" w:w="1440"/>
          </w:tcPr>
          <w:p>
            <w:r>
              <w:t>15.0%</w:t>
            </w:r>
          </w:p>
        </w:tc>
        <w:tc>
          <w:tcPr>
            <w:tcW w:type="dxa" w:w="2880"/>
          </w:tcPr>
          <w:p>
            <w:r>
              <w:t>Deploy 1.0% to energy rebuilds; lands at hard floor</w:t>
            </w:r>
          </w:p>
        </w:tc>
      </w:tr>
    </w:tbl>
    <w:p>
      <w:r>
        <w:rPr>
          <w:b/>
          <w:sz w:val="20"/>
        </w:rPr>
        <w:t>Portfolio integrity (post-action): 27 positions + cash = 100.00%.</w:t>
      </w:r>
    </w:p>
    <w:p>
      <w:pPr>
        <w:pStyle w:val="Heading1"/>
      </w:pPr>
      <w:r>
        <w:rPr>
          <w:color w:val="1F3A5F"/>
        </w:rPr>
        <w:t>7. Full Portfolio — Post-Action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shd w:val="clear" w:color="auto" w:fill="1F3A5F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008"/>
            <w:shd w:val="clear" w:color="auto" w:fill="1F3A5F"/>
          </w:tcPr>
          <w:p>
            <w:r>
              <w:rPr>
                <w:b/>
                <w:color w:val="FFFFFF"/>
                <w:sz w:val="18"/>
              </w:rPr>
              <w:t>Ticker</w:t>
            </w:r>
          </w:p>
        </w:tc>
        <w:tc>
          <w:tcPr>
            <w:tcW w:type="dxa" w:w="3168"/>
            <w:shd w:val="clear" w:color="auto" w:fill="1F3A5F"/>
          </w:tcPr>
          <w:p>
            <w:r>
              <w:rPr>
                <w:b/>
                <w:color w:val="FFFFFF"/>
                <w:sz w:val="18"/>
              </w:rPr>
              <w:t>Company</w:t>
            </w:r>
          </w:p>
        </w:tc>
        <w:tc>
          <w:tcPr>
            <w:tcW w:type="dxa" w:w="3888"/>
            <w:shd w:val="clear" w:color="auto" w:fill="1F3A5F"/>
          </w:tcPr>
          <w:p>
            <w:r>
              <w:rPr>
                <w:b/>
                <w:color w:val="FFFFFF"/>
                <w:sz w:val="18"/>
              </w:rPr>
              <w:t>Sector</w:t>
            </w:r>
          </w:p>
        </w:tc>
        <w:tc>
          <w:tcPr>
            <w:tcW w:type="dxa" w:w="1440"/>
            <w:shd w:val="clear" w:color="auto" w:fill="1F3A5F"/>
          </w:tcPr>
          <w:p>
            <w:r>
              <w:rPr>
                <w:b/>
                <w:color w:val="FFFFFF"/>
                <w:sz w:val="18"/>
              </w:rPr>
              <w:t>Weight %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NVDA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NVIDIA Corporation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Technology – AI Infrastructure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6.5%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AMZN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Amazon.com, Inc.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Technology – Cloud / E-Commerce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5.5%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META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Meta Platforms, Inc.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Communication Services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4.5%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LLY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Eli Lilly and Company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Healthcare – Pharmaceuticals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4.5%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JPM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JPMorgan Chase &amp; Co.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Financials – Banking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4.5%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AVGO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Broadcom Inc.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Technology – Semiconductors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4.0%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MSFT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Microsoft Corporation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Technology – Enterprise Software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4.0%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PANW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Palo Alto Networks, Inc.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Technology – Cybersecurity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4.0%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QQQ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Invesco QQQ Trust (ETF)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ETF – Nasdaq-100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3.5%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ORCL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Oracle Corporation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Technology – Cloud Database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3.5%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GOOGL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Alphabet Inc.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Technology – Search / Cloud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3.0%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PLTR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Palantir Technologies, Inc.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Technology – AI Software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3.0%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UNH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UnitedHealth Group Inc.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Healthcare – Managed Care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3.0%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V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Visa Inc.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Financials – Payments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3.0%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TSM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Taiwan Semiconductor Mfg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Technology – Foundry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3.0%</w:t>
            </w:r>
          </w:p>
        </w:tc>
      </w:tr>
      <w:tr>
        <w:tc>
          <w:tcPr>
            <w:tcW w:type="dxa" w:w="576"/>
            <w:shd w:val="clear" w:color="auto" w:fill="D9EAD3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008"/>
            <w:shd w:val="clear" w:color="auto" w:fill="D9EAD3"/>
          </w:tcPr>
          <w:p>
            <w:r>
              <w:rPr>
                <w:sz w:val="18"/>
              </w:rPr>
              <w:t>XOM</w:t>
            </w:r>
          </w:p>
        </w:tc>
        <w:tc>
          <w:tcPr>
            <w:tcW w:type="dxa" w:w="3168"/>
            <w:shd w:val="clear" w:color="auto" w:fill="D9EAD3"/>
          </w:tcPr>
          <w:p>
            <w:r>
              <w:rPr>
                <w:sz w:val="18"/>
              </w:rPr>
              <w:t>Exxon Mobil Corporation</w:t>
            </w:r>
          </w:p>
        </w:tc>
        <w:tc>
          <w:tcPr>
            <w:tcW w:type="dxa" w:w="3888"/>
            <w:shd w:val="clear" w:color="auto" w:fill="D9EAD3"/>
          </w:tcPr>
          <w:p>
            <w:r>
              <w:rPr>
                <w:sz w:val="18"/>
              </w:rPr>
              <w:t>Energy – Integrated Oil &amp; Gas</w:t>
            </w:r>
          </w:p>
        </w:tc>
        <w:tc>
          <w:tcPr>
            <w:tcW w:type="dxa" w:w="1440"/>
            <w:shd w:val="clear" w:color="auto" w:fill="D9EAD3"/>
          </w:tcPr>
          <w:p>
            <w:r>
              <w:rPr>
                <w:sz w:val="18"/>
              </w:rPr>
              <w:t>3.0%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VUG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Vanguard Growth ETF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ETF – Large-Cap Growth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2.5%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SCHD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Schwab U.S. Dividend ETF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ETF – Dividend / Income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2.5%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MU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Micron Technology, Inc.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Technology – Memory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2.5%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COST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Costco Wholesale Corporation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Consumer Staples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2.5%</w:t>
            </w:r>
          </w:p>
        </w:tc>
      </w:tr>
      <w:tr>
        <w:tc>
          <w:tcPr>
            <w:tcW w:type="dxa" w:w="576"/>
            <w:shd w:val="clear" w:color="auto" w:fill="D9EAD3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008"/>
            <w:shd w:val="clear" w:color="auto" w:fill="D9EAD3"/>
          </w:tcPr>
          <w:p>
            <w:r>
              <w:rPr>
                <w:sz w:val="18"/>
              </w:rPr>
              <w:t>EOG</w:t>
            </w:r>
          </w:p>
        </w:tc>
        <w:tc>
          <w:tcPr>
            <w:tcW w:type="dxa" w:w="3168"/>
            <w:shd w:val="clear" w:color="auto" w:fill="D9EAD3"/>
          </w:tcPr>
          <w:p>
            <w:r>
              <w:rPr>
                <w:sz w:val="18"/>
              </w:rPr>
              <w:t>EOG Resources, Inc.</w:t>
            </w:r>
          </w:p>
        </w:tc>
        <w:tc>
          <w:tcPr>
            <w:tcW w:type="dxa" w:w="3888"/>
            <w:shd w:val="clear" w:color="auto" w:fill="D9EAD3"/>
          </w:tcPr>
          <w:p>
            <w:r>
              <w:rPr>
                <w:sz w:val="18"/>
              </w:rPr>
              <w:t>Energy – E&amp;P</w:t>
            </w:r>
          </w:p>
        </w:tc>
        <w:tc>
          <w:tcPr>
            <w:tcW w:type="dxa" w:w="1440"/>
            <w:shd w:val="clear" w:color="auto" w:fill="D9EAD3"/>
          </w:tcPr>
          <w:p>
            <w:r>
              <w:rPr>
                <w:sz w:val="18"/>
              </w:rPr>
              <w:t>2.5%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DASH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DoorDash, Inc.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Consumer Discretionary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2.0%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NEE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NextEra Energy, Inc.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Utilities – Renewables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2.0%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ABBV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AbbVie Inc.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Healthcare – Biotech / Pharma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1.5%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NFLX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Netflix, Inc.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Communication Services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1.5%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CRWD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CrowdStrike Holdings, Inc.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Technology – Cybersecurity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1.5%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INTC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Intel Corporation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Technology – Semiconductors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1.5%</w:t>
            </w:r>
          </w:p>
        </w:tc>
      </w:tr>
      <w:tr>
        <w:tc>
          <w:tcPr>
            <w:tcW w:type="dxa" w:w="576"/>
            <w:shd w:val="clear" w:color="auto" w:fill="FFF2CC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08"/>
            <w:shd w:val="clear" w:color="auto" w:fill="FFF2CC"/>
          </w:tcPr>
          <w:p>
            <w:r>
              <w:rPr>
                <w:sz w:val="18"/>
              </w:rPr>
              <w:t>CASH</w:t>
            </w:r>
          </w:p>
        </w:tc>
        <w:tc>
          <w:tcPr>
            <w:tcW w:type="dxa" w:w="3168"/>
            <w:shd w:val="clear" w:color="auto" w:fill="FFF2CC"/>
          </w:tcPr>
          <w:p>
            <w:r>
              <w:rPr>
                <w:sz w:val="18"/>
              </w:rPr>
              <w:t>Cash / Money Market Reserve</w:t>
            </w:r>
          </w:p>
        </w:tc>
        <w:tc>
          <w:tcPr>
            <w:tcW w:type="dxa" w:w="3888"/>
            <w:shd w:val="clear" w:color="auto" w:fill="FFF2CC"/>
          </w:tcPr>
          <w:p>
            <w:r>
              <w:rPr>
                <w:sz w:val="18"/>
              </w:rPr>
              <w:t>Cash &amp; Equivalents</w:t>
            </w:r>
          </w:p>
        </w:tc>
        <w:tc>
          <w:tcPr>
            <w:tcW w:type="dxa" w:w="1440"/>
            <w:shd w:val="clear" w:color="auto" w:fill="FFF2CC"/>
          </w:tcPr>
          <w:p>
            <w:r>
              <w:rPr>
                <w:sz w:val="18"/>
              </w:rPr>
              <w:t>15.0%</w:t>
            </w:r>
          </w:p>
        </w:tc>
      </w:tr>
      <w:tr>
        <w:tc>
          <w:tcPr>
            <w:tcW w:type="dxa" w:w="576"/>
            <w:shd w:val="clear" w:color="auto" w:fill="CFE2F3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1008"/>
            <w:shd w:val="clear" w:color="auto" w:fill="CFE2F3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3168"/>
            <w:shd w:val="clear" w:color="auto" w:fill="CFE2F3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3888"/>
            <w:shd w:val="clear" w:color="auto" w:fill="CFE2F3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1440"/>
            <w:shd w:val="clear" w:color="auto" w:fill="CFE2F3"/>
          </w:tcPr>
          <w:p>
            <w:r>
              <w:rPr>
                <w:b/>
                <w:sz w:val="18"/>
              </w:rPr>
              <w:t>100.0%</w:t>
            </w:r>
          </w:p>
        </w:tc>
      </w:tr>
    </w:tbl>
    <w:p>
      <w:pPr>
        <w:pStyle w:val="Heading1"/>
      </w:pPr>
      <w:r>
        <w:rPr>
          <w:color w:val="1F3A5F"/>
        </w:rPr>
        <w:t>8. Sources</w:t>
      </w:r>
    </w:p>
    <w:p>
      <w:pPr>
        <w:pStyle w:val="ListBullet"/>
      </w:pPr>
      <w:r>
        <w:rPr>
          <w:sz w:val="18"/>
        </w:rPr>
        <w:t xml:space="preserve">Apr 28 market — TheStreet:  </w:t>
      </w:r>
      <w:r>
        <w:rPr>
          <w:color w:val="1F3A5F"/>
          <w:sz w:val="18"/>
        </w:rPr>
        <w:t>https://www.thestreet.com/latest-news/stock-market-today-apr-28-2026-updates</w:t>
      </w:r>
    </w:p>
    <w:p>
      <w:pPr>
        <w:pStyle w:val="ListBullet"/>
      </w:pPr>
      <w:r>
        <w:rPr>
          <w:sz w:val="18"/>
        </w:rPr>
        <w:t xml:space="preserve">Apr 28 market — Yahoo Finance:  </w:t>
      </w:r>
      <w:r>
        <w:rPr>
          <w:color w:val="1F3A5F"/>
          <w:sz w:val="18"/>
        </w:rPr>
        <w:t>https://finance.yahoo.com/markets/stocks/articles/stock-market-today-april-28-211643016.html</w:t>
      </w:r>
    </w:p>
    <w:p>
      <w:pPr>
        <w:pStyle w:val="ListBullet"/>
      </w:pPr>
      <w:r>
        <w:rPr>
          <w:sz w:val="18"/>
        </w:rPr>
        <w:t xml:space="preserve">Apr 28 market — CNBC live:  </w:t>
      </w:r>
      <w:r>
        <w:rPr>
          <w:color w:val="1F3A5F"/>
          <w:sz w:val="18"/>
        </w:rPr>
        <w:t>https://www.cnbc.com/2026/04/27/stock-market-today-live-updates.html</w:t>
      </w:r>
    </w:p>
    <w:p>
      <w:pPr>
        <w:pStyle w:val="ListBullet"/>
      </w:pPr>
      <w:r>
        <w:rPr>
          <w:sz w:val="18"/>
        </w:rPr>
        <w:t xml:space="preserve">Visa Q2 2026 BEAT — BigGo Finance:  </w:t>
      </w:r>
      <w:r>
        <w:rPr>
          <w:color w:val="1F3A5F"/>
          <w:sz w:val="18"/>
        </w:rPr>
        <w:t>https://finance.biggo.com/news/US_V_2026-04-28</w:t>
      </w:r>
    </w:p>
    <w:p>
      <w:pPr>
        <w:pStyle w:val="ListBullet"/>
      </w:pPr>
      <w:r>
        <w:rPr>
          <w:sz w:val="18"/>
        </w:rPr>
        <w:t xml:space="preserve">Visa Q2 2026 transcript — MarketScreener:  </w:t>
      </w:r>
      <w:r>
        <w:rPr>
          <w:color w:val="1F3A5F"/>
          <w:sz w:val="18"/>
        </w:rPr>
        <w:t>https://www.marketscreener.com/news/transcript-visa-inc-q2-2026-earnings-call-apr-28-2026-ce7f59d3d98efe26</w:t>
      </w:r>
    </w:p>
    <w:p>
      <w:pPr>
        <w:pStyle w:val="ListBullet"/>
      </w:pPr>
      <w:r>
        <w:rPr>
          <w:sz w:val="18"/>
        </w:rPr>
        <w:t xml:space="preserve">OpenAI miss WSJ — Bloomberg:  </w:t>
      </w:r>
      <w:r>
        <w:rPr>
          <w:color w:val="1F3A5F"/>
          <w:sz w:val="18"/>
        </w:rPr>
        <w:t>https://www.bloomberg.com/news/articles/2026-04-28/openai-misses-its-own-user-and-sales-goals-wsj-reports</w:t>
      </w:r>
    </w:p>
    <w:p>
      <w:pPr>
        <w:pStyle w:val="ListBullet"/>
      </w:pPr>
      <w:r>
        <w:rPr>
          <w:sz w:val="18"/>
        </w:rPr>
        <w:t xml:space="preserve">OpenAI miss — CNBC ORCL/chips:  </w:t>
      </w:r>
      <w:r>
        <w:rPr>
          <w:color w:val="1F3A5F"/>
          <w:sz w:val="18"/>
        </w:rPr>
        <w:t>https://www.cnbc.com/2026/04/28/openai-reportedly-missed-revenue-targets-shares-of-oracle-and-these-chip-stocks-are-falling.html</w:t>
      </w:r>
    </w:p>
    <w:p>
      <w:pPr>
        <w:pStyle w:val="ListBullet"/>
      </w:pPr>
      <w:r>
        <w:rPr>
          <w:sz w:val="18"/>
        </w:rPr>
        <w:t xml:space="preserve">WTI Apr 28 ~$99-100 — Angle360NG:  </w:t>
      </w:r>
      <w:r>
        <w:rPr>
          <w:color w:val="1F3A5F"/>
          <w:sz w:val="18"/>
        </w:rPr>
        <w:t>https://angle360ng.com/wti-crude-oil-price-today-april-28-2026/</w:t>
      </w:r>
    </w:p>
    <w:p>
      <w:pPr>
        <w:pStyle w:val="ListBullet"/>
      </w:pPr>
      <w:r>
        <w:rPr>
          <w:sz w:val="18"/>
        </w:rPr>
        <w:t xml:space="preserve">Brent / Hormuz:  </w:t>
      </w:r>
      <w:r>
        <w:rPr>
          <w:color w:val="1F3A5F"/>
          <w:sz w:val="18"/>
        </w:rPr>
        <w:t>https://www.aljazeera.com/economy/2026/4/27/oil-prices-rise-higher-amid-stalled-us-iran-peace-talks</w:t>
      </w:r>
    </w:p>
    <w:p>
      <w:pPr>
        <w:pStyle w:val="ListBullet"/>
      </w:pPr>
      <w:r>
        <w:rPr>
          <w:sz w:val="18"/>
        </w:rPr>
        <w:t xml:space="preserve">XOM ~$150 — Phemex:  </w:t>
      </w:r>
      <w:r>
        <w:rPr>
          <w:color w:val="1F3A5F"/>
          <w:sz w:val="18"/>
        </w:rPr>
        <w:t>https://phemex.com/blogs/xom-stock-price-analysis-april-2026</w:t>
      </w:r>
    </w:p>
    <w:p>
      <w:pPr>
        <w:pStyle w:val="ListBullet"/>
      </w:pPr>
      <w:r>
        <w:rPr>
          <w:sz w:val="18"/>
        </w:rPr>
        <w:t xml:space="preserve">FOMC preview — CNBC:  </w:t>
      </w:r>
      <w:r>
        <w:rPr>
          <w:color w:val="1F3A5F"/>
          <w:sz w:val="18"/>
        </w:rPr>
        <w:t>https://www.cnbc.com/2026/04/28/fed-meeting-preview-april-2026.html</w:t>
      </w:r>
    </w:p>
    <w:p/>
    <w:p>
      <w:r>
        <w:rPr>
          <w:i/>
          <w:color w:val="555555"/>
          <w:sz w:val="16"/>
        </w:rPr>
        <w:t>Disclaimer: Automated pre-market portfolio report. Prices intraday/approximate. Past performance not indicative of future results. Pre-authorized wealth-management discretion consistent with the written investment policy.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