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left"/>
      </w:pPr>
      <w:r>
        <w:rPr>
          <w:rFonts w:ascii="Calibri" w:hAnsi="Calibri" w:cs="Calibri" w:eastAsia="Calibri"/>
          <w:b/>
          <w:color w:val="000000"/>
          <w:sz w:val="28"/>
        </w:rPr>
        <w:t>DAILY PRE-MARKET PORTFOLIO REPORT</w:t>
      </w:r>
    </w:p>
    <w:p>
      <w:pPr>
        <w:spacing w:before="0" w:after="80" w:line="276" w:lineRule="auto"/>
        <w:jc w:val="left"/>
      </w:pPr>
      <w:r>
        <w:rPr>
          <w:rFonts w:ascii="Calibri" w:hAnsi="Calibri" w:cs="Calibri" w:eastAsia="Calibri"/>
          <w:b w:val="0"/>
          <w:color w:val="404040"/>
          <w:sz w:val="18"/>
        </w:rPr>
        <w:t>Long-Term Growth Portfolio  |  April 29, 2026  |  ON-DEMAND RE-RUN  |  FOMC Decision Day  |  Mag-4 Earnings AMC  |  Cash at 15.0% Floor</w:t>
      </w:r>
    </w:p>
    <w:p>
      <w:pPr>
        <w:spacing w:before="160" w:after="40" w:line="240" w:lineRule="auto"/>
        <w:pBdr>
          <w:bottom w:val="single" w:sz="6" w:space="1" w:color="B0B0B0"/>
        </w:pBdr>
      </w:pPr>
      <w:r>
        <w:rPr>
          <w:rFonts w:ascii="Calibri" w:hAnsi="Calibri" w:cs="Calibri" w:eastAsia="Calibri"/>
          <w:b/>
          <w:color w:val="000000"/>
          <w:sz w:val="22"/>
        </w:rPr>
        <w:t>1. MARKET SNAPSHOT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12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Index / Indicator</w:t>
            </w:r>
          </w:p>
        </w:tc>
        <w:tc>
          <w:tcPr>
            <w:tcW w:type="dxa" w:w="7200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Level / Move (Apr 28 close → Apr 29 pre-FOMC)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S&amp;P 500 (Apr 28 close)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7,138.80  (−0.49%) — AI-complex selloff led by OpenAI miss WSJ report</w:t>
            </w:r>
          </w:p>
        </w:tc>
      </w:tr>
      <w:tr>
        <w:tc>
          <w:tcPr>
            <w:tcW w:type="dxa" w:w="331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S&amp;P 500 Futures (pre-Fed)</w:t>
            </w:r>
          </w:p>
        </w:tc>
        <w:tc>
          <w:tcPr>
            <w:tcW w:type="dxa" w:w="72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≈ 7,184  (rebounding modestly into FOMC + Mag-4 prints)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Nasdaq Composite (Apr 28)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24,663.80 (−0.90%) — chip-and-cloud the worst sub-sector</w:t>
            </w:r>
          </w:p>
        </w:tc>
      </w:tr>
      <w:tr>
        <w:tc>
          <w:tcPr>
            <w:tcW w:type="dxa" w:w="331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VIX</w:t>
            </w:r>
          </w:p>
        </w:tc>
        <w:tc>
          <w:tcPr>
            <w:tcW w:type="dxa" w:w="72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≈ 18  (steady; not panic, but elevated awareness)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10-Year Treasury Yield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≈ 4.30%</w:t>
            </w:r>
          </w:p>
        </w:tc>
      </w:tr>
      <w:tr>
        <w:tc>
          <w:tcPr>
            <w:tcW w:type="dxa" w:w="3312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WTI Crude (Apr 29 spot)</w:t>
            </w:r>
          </w:p>
        </w:tc>
        <w:tc>
          <w:tcPr>
            <w:tcW w:type="dxa" w:w="7200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≈ $99.32 / bbl  (8th consecutive up session; Hormuz disruption persists)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color w:val="404040"/>
          <w:sz w:val="18"/>
        </w:rPr>
        <w:t>TODAY'S CALENDAR:  (1) FOMC decision 2pm ET — 100% odds HOLD at 3.50–3.75% per CME FedWatch; press conference 2:30pm — almost certainly Powell's final (Warsh nominated successor). (2) Mega-cap earnings AMC: MSFT, META, GOOGL, AMZN — Bloomberg's 80-second print window. (3) Apr 30 AMC: AAPL, ABBV, LLY. (4) May 1: XOM Q1.   Provenance: SOURCED prices/levels (web search at write time); CALIBRATED time-of-day deltas.</w:t>
      </w:r>
    </w:p>
    <w:p>
      <w:pPr>
        <w:spacing w:before="160" w:after="40" w:line="240" w:lineRule="auto"/>
        <w:pBdr>
          <w:bottom w:val="single" w:sz="6" w:space="1" w:color="B0B0B0"/>
        </w:pBdr>
      </w:pPr>
      <w:r>
        <w:rPr>
          <w:rFonts w:ascii="Calibri" w:hAnsi="Calibri" w:cs="Calibri" w:eastAsia="Calibri"/>
          <w:b/>
          <w:color w:val="000000"/>
          <w:sz w:val="22"/>
        </w:rPr>
        <w:t>2. SCAN 1 — HOLDINGS REVIEW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440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Ticker</w:t>
            </w:r>
          </w:p>
        </w:tc>
        <w:tc>
          <w:tcPr>
            <w:tcW w:type="dxa" w:w="6336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Headline / Set-up</w:t>
            </w:r>
          </w:p>
        </w:tc>
        <w:tc>
          <w:tcPr>
            <w:tcW w:type="dxa" w:w="1728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Impact</w:t>
            </w:r>
          </w:p>
        </w:tc>
        <w:tc>
          <w:tcPr>
            <w:tcW w:type="dxa" w:w="2304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Action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MSFT</w:t>
            </w:r>
          </w:p>
        </w:tc>
        <w:tc>
          <w:tcPr>
            <w:tcW w:type="dxa" w:w="63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Earnings AMC. Cons EPS $4.04–$4.06 / rev ~$81B / Azure +38% / Copilot ARR. Pre-print pressure from OpenAI exclusivity loss + WSJ revenue miss.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BINARY (earnings)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HOLD 4.0% into print</w:t>
            </w:r>
          </w:p>
        </w:tc>
      </w:tr>
      <w:tr>
        <w:tc>
          <w:tcPr>
            <w:tcW w:type="dxa" w:w="144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META</w:t>
            </w:r>
          </w:p>
        </w:tc>
        <w:tc>
          <w:tcPr>
            <w:tcW w:type="dxa" w:w="633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Earnings AMC. Cons EPS ~$7.51 / rev $55.5B / ad +30%. Capex guide $115–135B + MTIA pivot the swing factors.</w:t>
            </w:r>
          </w:p>
        </w:tc>
        <w:tc>
          <w:tcPr>
            <w:tcW w:type="dxa" w:w="172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BINARY (earnings)</w:t>
            </w:r>
          </w:p>
        </w:tc>
        <w:tc>
          <w:tcPr>
            <w:tcW w:type="dxa" w:w="230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HOLD 4.5% into print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GOOGL</w:t>
            </w:r>
          </w:p>
        </w:tc>
        <w:tc>
          <w:tcPr>
            <w:tcW w:type="dxa" w:w="63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Earnings AMC. Cons EPS ~$2.83 / rev ~$107B / Cloud potentially +48% / op margin &gt;17%.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BINARY (earnings)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HOLD 3.0% into print</w:t>
            </w:r>
          </w:p>
        </w:tc>
      </w:tr>
      <w:tr>
        <w:tc>
          <w:tcPr>
            <w:tcW w:type="dxa" w:w="144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AMZN</w:t>
            </w:r>
          </w:p>
        </w:tc>
        <w:tc>
          <w:tcPr>
            <w:tcW w:type="dxa" w:w="633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Earnings AMC. Cons EPS $1.65–$2.11 / rev ~$177B / AWS &gt;20%. $25B Anthropic + ~$200B 2026 capex narrative.</w:t>
            </w:r>
          </w:p>
        </w:tc>
        <w:tc>
          <w:tcPr>
            <w:tcW w:type="dxa" w:w="172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BINARY (earnings)</w:t>
            </w:r>
          </w:p>
        </w:tc>
        <w:tc>
          <w:tcPr>
            <w:tcW w:type="dxa" w:w="230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HOLD 5.5% into print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63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Q2 BEAT (Apr 28 AMC, +5.2% post-print): rev $11.2B (+17% — fastest since 2013); EPS $3.31 (+20%); $7.9B Q2 buyback + new $20B authorization (~$33B total); FY guide raised to low-double / low-teens.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STRONGLY POSITIVE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HOLD 3.0% — no chase</w:t>
            </w:r>
          </w:p>
        </w:tc>
      </w:tr>
      <w:tr>
        <w:tc>
          <w:tcPr>
            <w:tcW w:type="dxa" w:w="144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XOM</w:t>
            </w:r>
          </w:p>
        </w:tc>
        <w:tc>
          <w:tcPr>
            <w:tcW w:type="dxa" w:w="633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Position rebuilt to 3.0% Apr 28. WTI ~$99 sustaining. Q1 earnings May 1.</w:t>
            </w:r>
          </w:p>
        </w:tc>
        <w:tc>
          <w:tcPr>
            <w:tcW w:type="dxa" w:w="172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POSITIVE</w:t>
            </w:r>
          </w:p>
        </w:tc>
        <w:tc>
          <w:tcPr>
            <w:tcW w:type="dxa" w:w="230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HOLD 3.0% — full target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EOG</w:t>
            </w:r>
          </w:p>
        </w:tc>
        <w:tc>
          <w:tcPr>
            <w:tcW w:type="dxa" w:w="63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Position rebuilt to 2.5% Apr 28. Q1 earnings May 6.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POSITIVE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HOLD 2.5% — full target</w:t>
            </w:r>
          </w:p>
        </w:tc>
      </w:tr>
      <w:tr>
        <w:tc>
          <w:tcPr>
            <w:tcW w:type="dxa" w:w="144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LLY</w:t>
            </w:r>
          </w:p>
        </w:tc>
        <w:tc>
          <w:tcPr>
            <w:tcW w:type="dxa" w:w="633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Earnings tomorrow Apr 30. Cons dispersion wide ($5.47/$14.1B vs $6.85/$17.6B). FY26 guide $80–83B. Foundayo (oral GLP-1) launch. Cash GLP-1 prices compressed to $299–$350/mo from $1k+.</w:t>
            </w:r>
          </w:p>
        </w:tc>
        <w:tc>
          <w:tcPr>
            <w:tcW w:type="dxa" w:w="172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BINARY (earnings)</w:t>
            </w:r>
          </w:p>
        </w:tc>
        <w:tc>
          <w:tcPr>
            <w:tcW w:type="dxa" w:w="230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HOLD 4.5% into print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ABBV</w:t>
            </w:r>
          </w:p>
        </w:tc>
        <w:tc>
          <w:tcPr>
            <w:tcW w:type="dxa" w:w="63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Earnings tomorrow. NC campus + Canaccord Buy.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BINARY (earnings)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HOLD 1.5% into print</w:t>
            </w:r>
          </w:p>
        </w:tc>
      </w:tr>
      <w:tr>
        <w:tc>
          <w:tcPr>
            <w:tcW w:type="dxa" w:w="144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NVDA / AVGO</w:t>
            </w:r>
          </w:p>
        </w:tc>
        <w:tc>
          <w:tcPr>
            <w:tcW w:type="dxa" w:w="633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Recovery off Apr 28 dip. AI ASIC backlog $73B (AVGO) intact. NVDA earnings May 20.</w:t>
            </w:r>
          </w:p>
        </w:tc>
        <w:tc>
          <w:tcPr>
            <w:tcW w:type="dxa" w:w="172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POSITIVE</w:t>
            </w:r>
          </w:p>
        </w:tc>
        <w:tc>
          <w:tcPr>
            <w:tcW w:type="dxa" w:w="230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HOLD 6.5% / 4.0%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ORCL</w:t>
            </w:r>
          </w:p>
        </w:tc>
        <w:tc>
          <w:tcPr>
            <w:tcW w:type="dxa" w:w="63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Still digesting OpenAI miss (Stargate counterparty; RPO concentration risk highlighted). Watch GOOGL/AMZN cloud beats for workload re-routing read.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MIXED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HOLD 3.5% — do not add on weakness</w:t>
            </w:r>
          </w:p>
        </w:tc>
      </w:tr>
      <w:tr>
        <w:tc>
          <w:tcPr>
            <w:tcW w:type="dxa" w:w="144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INTC</w:t>
            </w:r>
          </w:p>
        </w:tc>
        <w:tc>
          <w:tcPr>
            <w:tcW w:type="dxa" w:w="633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Apr 24 entry +20% in 3 sessions. Q1 18A momentum intact.</w:t>
            </w:r>
          </w:p>
        </w:tc>
        <w:tc>
          <w:tcPr>
            <w:tcW w:type="dxa" w:w="172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POSITIVE</w:t>
            </w:r>
          </w:p>
        </w:tc>
        <w:tc>
          <w:tcPr>
            <w:tcW w:type="dxa" w:w="230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HOLD 1.5% — no chase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JPM</w:t>
            </w:r>
          </w:p>
        </w:tc>
        <w:tc>
          <w:tcPr>
            <w:tcW w:type="dxa" w:w="63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V print validates JPM top-fintech-pick call. JPM Q1 already on file (4.5% since Apr 14).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POSITIVE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HOLD 4.5%</w:t>
            </w:r>
          </w:p>
        </w:tc>
      </w:tr>
      <w:tr>
        <w:tc>
          <w:tcPr>
            <w:tcW w:type="dxa" w:w="144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PLTR</w:t>
            </w:r>
          </w:p>
        </w:tc>
        <w:tc>
          <w:tcPr>
            <w:tcW w:type="dxa" w:w="633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Earnings May 4. High beta into print.</w:t>
            </w:r>
          </w:p>
        </w:tc>
        <w:tc>
          <w:tcPr>
            <w:tcW w:type="dxa" w:w="172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MIXED</w:t>
            </w:r>
          </w:p>
        </w:tc>
        <w:tc>
          <w:tcPr>
            <w:tcW w:type="dxa" w:w="230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HOLD 3.0%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UNH</w:t>
            </w:r>
          </w:p>
        </w:tc>
        <w:tc>
          <w:tcPr>
            <w:tcW w:type="dxa" w:w="63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Q1 turnaround (EPS $7.23; FY guide $18.25+; CMS MA pay hike) intact.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POSITIVE (lagging)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HOLD 3.0% — add watch</w:t>
            </w:r>
          </w:p>
        </w:tc>
      </w:tr>
      <w:tr>
        <w:tc>
          <w:tcPr>
            <w:tcW w:type="dxa" w:w="144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MU / TSM</w:t>
            </w:r>
          </w:p>
        </w:tc>
        <w:tc>
          <w:tcPr>
            <w:tcW w:type="dxa" w:w="633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Off recent records on chip-sector sell. Add-watches active but no cash capacity.</w:t>
            </w:r>
          </w:p>
        </w:tc>
        <w:tc>
          <w:tcPr>
            <w:tcW w:type="dxa" w:w="172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MIXED</w:t>
            </w:r>
          </w:p>
        </w:tc>
        <w:tc>
          <w:tcPr>
            <w:tcW w:type="dxa" w:w="230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HOLD — no capacity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NEE</w:t>
            </w:r>
          </w:p>
        </w:tc>
        <w:tc>
          <w:tcPr>
            <w:tcW w:type="dxa" w:w="63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Q1 beat; FY guide reaffirmed; 9.5 GW Japan gas deal on file.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POSITIVE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HOLD 2.0% — add watch</w:t>
            </w:r>
          </w:p>
        </w:tc>
      </w:tr>
      <w:tr>
        <w:tc>
          <w:tcPr>
            <w:tcW w:type="dxa" w:w="1440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PANW / CRWD / COST / DASH / NFLX / QQQ / VUG / SCHD</w:t>
            </w:r>
          </w:p>
        </w:tc>
        <w:tc>
          <w:tcPr>
            <w:tcW w:type="dxa" w:w="6336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No fresh idiosyncratic catalysts; FOMC + AMC prints dictate.</w:t>
            </w:r>
          </w:p>
        </w:tc>
        <w:tc>
          <w:tcPr>
            <w:tcW w:type="dxa" w:w="1728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NEUTRAL</w:t>
            </w:r>
          </w:p>
        </w:tc>
        <w:tc>
          <w:tcPr>
            <w:tcW w:type="dxa" w:w="2304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HOLD all</w:t>
            </w:r>
          </w:p>
        </w:tc>
      </w:tr>
    </w:tbl>
    <w:p>
      <w:pPr>
        <w:spacing w:before="160" w:after="40" w:line="240" w:lineRule="auto"/>
        <w:pBdr>
          <w:bottom w:val="single" w:sz="6" w:space="1" w:color="B0B0B0"/>
        </w:pBdr>
      </w:pPr>
      <w:r>
        <w:rPr>
          <w:rFonts w:ascii="Calibri" w:hAnsi="Calibri" w:cs="Calibri" w:eastAsia="Calibri"/>
          <w:b/>
          <w:color w:val="000000"/>
          <w:sz w:val="22"/>
        </w:rPr>
        <w:t>3. SCAN 2 — WATCHLIST / NEW OPPORTUNITIES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Ticker / Theme</w:t>
            </w:r>
          </w:p>
        </w:tc>
        <w:tc>
          <w:tcPr>
            <w:tcW w:type="dxa" w:w="6336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Action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63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BEAT yesterday; opportunistic +0.5% only on 3–5% pullback (cash at floor → must trim to fund).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MONITOR — no capacity</w:t>
            </w:r>
          </w:p>
        </w:tc>
      </w:tr>
      <w:tr>
        <w:tc>
          <w:tcPr>
            <w:tcW w:type="dxa" w:w="302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SPOT</w:t>
            </w:r>
          </w:p>
        </w:tc>
        <w:tc>
          <w:tcPr>
            <w:tcW w:type="dxa" w:w="633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Q1 print Apr 28 AMC — review post-numbers before any entry decision.</w:t>
            </w:r>
          </w:p>
        </w:tc>
        <w:tc>
          <w:tcPr>
            <w:tcW w:type="dxa" w:w="244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ASSESS RESULTS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MU / TSM / NEE / UNH</w:t>
            </w:r>
          </w:p>
        </w:tc>
        <w:tc>
          <w:tcPr>
            <w:tcW w:type="dxa" w:w="63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Tech / utility / healthcare add-watches all on hold — cash at floor.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MONITOR — no capacity</w:t>
            </w:r>
          </w:p>
        </w:tc>
      </w:tr>
      <w:tr>
        <w:tc>
          <w:tcPr>
            <w:tcW w:type="dxa" w:w="3024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XOM / EOG</w:t>
            </w:r>
          </w:p>
        </w:tc>
        <w:tc>
          <w:tcPr>
            <w:tcW w:type="dxa" w:w="633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Triggered Apr 28 — at full target weights.</w:t>
            </w:r>
          </w:p>
        </w:tc>
        <w:tc>
          <w:tcPr>
            <w:tcW w:type="dxa" w:w="244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DONE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ARM / GS / WM / MDB / ISRG</w:t>
            </w:r>
          </w:p>
        </w:tc>
        <w:tc>
          <w:tcPr>
            <w:tcW w:type="dxa" w:w="633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No new catalysts vs morning report.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MONITOR</w:t>
            </w:r>
          </w:p>
        </w:tc>
      </w:tr>
      <w:tr>
        <w:tc>
          <w:tcPr>
            <w:tcW w:type="dxa" w:w="3024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NEW: Foundayo read-through (LLY)</w:t>
            </w:r>
          </w:p>
        </w:tc>
        <w:tc>
          <w:tcPr>
            <w:tcW w:type="dxa" w:w="6336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Oral GLP-1 launch detail in tomorrow's LLY print could re-shape obesity-drug peer mix (NVO, ABBV bio franchise reads). No add today; watch print.</w:t>
            </w:r>
          </w:p>
        </w:tc>
        <w:tc>
          <w:tcPr>
            <w:tcW w:type="dxa" w:w="2448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ASSESS POST-PRINT</w:t>
            </w:r>
          </w:p>
        </w:tc>
      </w:tr>
    </w:tbl>
    <w:p>
      <w:pPr>
        <w:spacing w:before="160" w:after="40" w:line="240" w:lineRule="auto"/>
        <w:pBdr>
          <w:bottom w:val="single" w:sz="6" w:space="1" w:color="B0B0B0"/>
        </w:pBdr>
      </w:pPr>
      <w:r>
        <w:rPr>
          <w:rFonts w:ascii="Calibri" w:hAnsi="Calibri" w:cs="Calibri" w:eastAsia="Calibri"/>
          <w:b/>
          <w:color w:val="000000"/>
          <w:sz w:val="22"/>
        </w:rPr>
        <w:t>4. CASH RECOMMENDATION</w:t>
      </w:r>
    </w:p>
    <w:p>
      <w:pPr>
        <w:spacing w:before="0" w:after="40" w:line="276" w:lineRule="auto"/>
      </w:pPr>
      <w:r>
        <w:rPr>
          <w:rFonts w:ascii="Calibri" w:hAnsi="Calibri" w:cs="Calibri" w:eastAsia="Calibri"/>
          <w:b w:val="0"/>
          <w:color w:val="000000"/>
          <w:sz w:val="20"/>
        </w:rPr>
        <w:t>Pre-action cash: 15.0%  |  Floor: 15.0%  |  Buffer: 0.0%  |  VIX ~18.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color w:val="000000"/>
          <w:sz w:val="20"/>
        </w:rPr>
        <w:t>RECOMMENDATION: HOLD 15.0%. Cash sits exactly at the IPS-defined hard floor. No discretionary deployments allowed today. Any new add must come from a corresponding trim. Defensive posture is intentional going into the FOMC decision (2pm) and the Mag-4 print window AMC.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color w:val="404040"/>
          <w:sz w:val="18"/>
        </w:rPr>
        <w:t>If a print disappoints badly: assess single-stock damage first, then evaluate a 0.5–1.0% trim of a high-multiple winner (e.g., a small TSM or NVDA trim) to re-arm cash for opportunistic adds in subsequent sessions. Do not pre-commit. Confidence: HIGH (rule-based discipline).</w:t>
      </w:r>
    </w:p>
    <w:p>
      <w:pPr>
        <w:spacing w:before="160" w:after="40" w:line="240" w:lineRule="auto"/>
        <w:pBdr>
          <w:bottom w:val="single" w:sz="6" w:space="1" w:color="B0B0B0"/>
        </w:pBdr>
      </w:pPr>
      <w:r>
        <w:rPr>
          <w:rFonts w:ascii="Calibri" w:hAnsi="Calibri" w:cs="Calibri" w:eastAsia="Calibri"/>
          <w:b/>
          <w:color w:val="000000"/>
          <w:sz w:val="22"/>
        </w:rPr>
        <w:t>5. PENDING CATALYSTS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4320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Catalyst</w:t>
            </w:r>
          </w:p>
        </w:tc>
        <w:tc>
          <w:tcPr>
            <w:tcW w:type="dxa" w:w="2016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5472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FOMC decision (today 2pm ET)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TODAY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100% HOLD per CME FedWatch; oil-CPI commentary the swing factor; likely Powell's final presser</w:t>
            </w:r>
          </w:p>
        </w:tc>
      </w:tr>
      <w:tr>
        <w:tc>
          <w:tcPr>
            <w:tcW w:type="dxa" w:w="432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MSFT / META / GOOGL / AMZN earnings (today AMC)</w:t>
            </w:r>
          </w:p>
        </w:tc>
        <w:tc>
          <w:tcPr>
            <w:tcW w:type="dxa" w:w="20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TODAY</w:t>
            </w:r>
          </w:p>
        </w:tc>
        <w:tc>
          <w:tcPr>
            <w:tcW w:type="dxa" w:w="547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Bloomberg's 80-second window — biggest single earnings event of 2026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AAPL / ABBV / LLY earnings (Apr 30)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TOMORROW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AAPL is the macro tell; LLY consensus dispersion wide; ABBV NC campus + Canaccord Buy</w:t>
            </w:r>
          </w:p>
        </w:tc>
      </w:tr>
      <w:tr>
        <w:tc>
          <w:tcPr>
            <w:tcW w:type="dxa" w:w="432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XOM Q1 (May 1)</w:t>
            </w:r>
          </w:p>
        </w:tc>
        <w:tc>
          <w:tcPr>
            <w:tcW w:type="dxa" w:w="20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FRIDAY</w:t>
            </w:r>
          </w:p>
        </w:tc>
        <w:tc>
          <w:tcPr>
            <w:tcW w:type="dxa" w:w="547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Permian + cash returns — first read on post-rebuild thesis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PLTR (May 4)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MONDAY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Government / Golden Dome contracts</w:t>
            </w:r>
          </w:p>
        </w:tc>
      </w:tr>
      <w:tr>
        <w:tc>
          <w:tcPr>
            <w:tcW w:type="dxa" w:w="432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EOG Q1 (May 6)</w:t>
            </w:r>
          </w:p>
        </w:tc>
        <w:tc>
          <w:tcPr>
            <w:tcW w:type="dxa" w:w="20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MAY 6</w:t>
            </w:r>
          </w:p>
        </w:tc>
        <w:tc>
          <w:tcPr>
            <w:tcW w:type="dxa" w:w="547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Best-in-class FCF read; valuation cheap on $90+ WTI strip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NVDA (May 20)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WATCH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Vera Rubin ramp / China export controls update</w:t>
            </w:r>
          </w:p>
        </w:tc>
      </w:tr>
      <w:tr>
        <w:tc>
          <w:tcPr>
            <w:tcW w:type="dxa" w:w="4320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Energy rebuild (XOM 2.5→3.0%, EOG 2.0→2.5%)</w:t>
            </w:r>
          </w:p>
        </w:tc>
        <w:tc>
          <w:tcPr>
            <w:tcW w:type="dxa" w:w="2016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EXECUTED Apr 28</w:t>
            </w:r>
          </w:p>
        </w:tc>
        <w:tc>
          <w:tcPr>
            <w:tcW w:type="dxa" w:w="5472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At full target weights</w:t>
            </w:r>
          </w:p>
        </w:tc>
      </w:tr>
    </w:tbl>
    <w:p>
      <w:pPr>
        <w:spacing w:before="160" w:after="40" w:line="240" w:lineRule="auto"/>
        <w:pBdr>
          <w:bottom w:val="single" w:sz="6" w:space="1" w:color="B0B0B0"/>
        </w:pBdr>
      </w:pPr>
      <w:r>
        <w:rPr>
          <w:rFonts w:ascii="Calibri" w:hAnsi="Calibri" w:cs="Calibri" w:eastAsia="Calibri"/>
          <w:b/>
          <w:color w:val="000000"/>
          <w:sz w:val="22"/>
        </w:rPr>
        <w:t>6. RECOMMENDED WEIGHT CHANGES (TODAY)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color w:val="000000"/>
          <w:sz w:val="20"/>
        </w:rPr>
        <w:t>NONE TODAY (on-demand re-run, mid-morning view). Portfolio holds 27 positions + 15.0% cash = 100.0%. Cash at hard 15.0% floor → no capacity for discretionary adds. Reactive posture only — wait for FOMC decision + Mag-4 prints.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color w:val="404040"/>
          <w:sz w:val="18"/>
        </w:rPr>
        <w:t>Pre-mortem (this stance is wrong if): a hawkish FOMC surprise on oil pass-through breaks the rate path, OR a Mag-4 print materially disappoints (Azure miss / AWS sub-20% / META capex blowout), forcing a defensive trim of high-multiple AI names below the cash floor. In that case, raise cash to 16–17% via 0.5–1.0% trims of the highest-beta over-target names (e.g., NVDA, AVGO) and re-rate.</w:t>
      </w:r>
    </w:p>
    <w:p>
      <w:pPr>
        <w:spacing w:before="160" w:after="40" w:line="240" w:lineRule="auto"/>
        <w:pBdr>
          <w:bottom w:val="single" w:sz="6" w:space="1" w:color="B0B0B0"/>
        </w:pBdr>
      </w:pPr>
      <w:r>
        <w:rPr>
          <w:rFonts w:ascii="Calibri" w:hAnsi="Calibri" w:cs="Calibri" w:eastAsia="Calibri"/>
          <w:b/>
          <w:color w:val="000000"/>
          <w:sz w:val="22"/>
        </w:rPr>
        <w:t>7. FULL PORTFOLIO — CURRENT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576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#</w:t>
            </w:r>
          </w:p>
        </w:tc>
        <w:tc>
          <w:tcPr>
            <w:tcW w:type="dxa" w:w="1008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Ticker</w:t>
            </w:r>
          </w:p>
        </w:tc>
        <w:tc>
          <w:tcPr>
            <w:tcW w:type="dxa" w:w="3600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Company</w:t>
            </w:r>
          </w:p>
        </w:tc>
        <w:tc>
          <w:tcPr>
            <w:tcW w:type="dxa" w:w="3888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Sector</w:t>
            </w:r>
          </w:p>
        </w:tc>
        <w:tc>
          <w:tcPr>
            <w:tcW w:type="dxa" w:w="1152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/>
                <w:color w:val="000000"/>
                <w:sz w:val="18"/>
              </w:rPr>
              <w:t>Weight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NVDA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NVIDIA Corporation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Technology – AI Infrastructure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6.5%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AMZN</w:t>
            </w:r>
          </w:p>
        </w:tc>
        <w:tc>
          <w:tcPr>
            <w:tcW w:type="dxa" w:w="36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Amazon.com, Inc.</w:t>
            </w:r>
          </w:p>
        </w:tc>
        <w:tc>
          <w:tcPr>
            <w:tcW w:type="dxa" w:w="388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Technology – Cloud / E-Commerce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5.5%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META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Meta Platforms, Inc.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Communication Services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4.5%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LLY</w:t>
            </w:r>
          </w:p>
        </w:tc>
        <w:tc>
          <w:tcPr>
            <w:tcW w:type="dxa" w:w="36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Eli Lilly and Company</w:t>
            </w:r>
          </w:p>
        </w:tc>
        <w:tc>
          <w:tcPr>
            <w:tcW w:type="dxa" w:w="388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Healthcare – Pharmaceuticals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4.5%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JPM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JPMorgan Chase &amp; Co.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Financials – Banking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4.5%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AVGO</w:t>
            </w:r>
          </w:p>
        </w:tc>
        <w:tc>
          <w:tcPr>
            <w:tcW w:type="dxa" w:w="36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Broadcom Inc.</w:t>
            </w:r>
          </w:p>
        </w:tc>
        <w:tc>
          <w:tcPr>
            <w:tcW w:type="dxa" w:w="388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Technology – Semiconductors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4.0%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MSFT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Microsoft Corporation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Technology – Enterprise Software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4.0%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PANW</w:t>
            </w:r>
          </w:p>
        </w:tc>
        <w:tc>
          <w:tcPr>
            <w:tcW w:type="dxa" w:w="36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Palo Alto Networks, Inc.</w:t>
            </w:r>
          </w:p>
        </w:tc>
        <w:tc>
          <w:tcPr>
            <w:tcW w:type="dxa" w:w="388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Technology – Cybersecurity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4.0%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QQQ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Invesco QQQ Trust (ETF)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ETF – Nasdaq-100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3.5%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ORCL</w:t>
            </w:r>
          </w:p>
        </w:tc>
        <w:tc>
          <w:tcPr>
            <w:tcW w:type="dxa" w:w="36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Oracle Corporation</w:t>
            </w:r>
          </w:p>
        </w:tc>
        <w:tc>
          <w:tcPr>
            <w:tcW w:type="dxa" w:w="388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Technology – Cloud Database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3.5%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GOOGL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Alphabet Inc.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Technology – Search / Cloud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3.0%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PLTR</w:t>
            </w:r>
          </w:p>
        </w:tc>
        <w:tc>
          <w:tcPr>
            <w:tcW w:type="dxa" w:w="36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Palantir Technologies, Inc.</w:t>
            </w:r>
          </w:p>
        </w:tc>
        <w:tc>
          <w:tcPr>
            <w:tcW w:type="dxa" w:w="388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Technology – AI Software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3.0%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UNH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UnitedHealth Group Inc.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Healthcare – Managed Care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3.0%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36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Visa Inc.</w:t>
            </w:r>
          </w:p>
        </w:tc>
        <w:tc>
          <w:tcPr>
            <w:tcW w:type="dxa" w:w="388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Financials – Payments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3.0%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TSM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Taiwan Semiconductor Mfg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Technology – Foundry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3.0%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XOM</w:t>
            </w:r>
          </w:p>
        </w:tc>
        <w:tc>
          <w:tcPr>
            <w:tcW w:type="dxa" w:w="36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Exxon Mobil Corporation</w:t>
            </w:r>
          </w:p>
        </w:tc>
        <w:tc>
          <w:tcPr>
            <w:tcW w:type="dxa" w:w="388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Energy – Integrated Oil &amp; Gas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3.0%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VUG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Vanguard Growth ETF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ETF – Large-Cap Growth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2.5%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SCHD</w:t>
            </w:r>
          </w:p>
        </w:tc>
        <w:tc>
          <w:tcPr>
            <w:tcW w:type="dxa" w:w="36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Schwab U.S. Dividend ETF</w:t>
            </w:r>
          </w:p>
        </w:tc>
        <w:tc>
          <w:tcPr>
            <w:tcW w:type="dxa" w:w="388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ETF – Dividend / Income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2.5%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MU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Micron Technology, Inc.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Technology – Memory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2.5%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COST</w:t>
            </w:r>
          </w:p>
        </w:tc>
        <w:tc>
          <w:tcPr>
            <w:tcW w:type="dxa" w:w="36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Costco Wholesale Corporation</w:t>
            </w:r>
          </w:p>
        </w:tc>
        <w:tc>
          <w:tcPr>
            <w:tcW w:type="dxa" w:w="388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Consumer Staples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2.5%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EOG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EOG Resources, Inc.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Energy – E&amp;P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2.5%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DASH</w:t>
            </w:r>
          </w:p>
        </w:tc>
        <w:tc>
          <w:tcPr>
            <w:tcW w:type="dxa" w:w="36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DoorDash, Inc.</w:t>
            </w:r>
          </w:p>
        </w:tc>
        <w:tc>
          <w:tcPr>
            <w:tcW w:type="dxa" w:w="388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Consumer Discretionary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2.0%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NEE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NextEra Energy, Inc.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Utilities – Renewables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2.0%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ABBV</w:t>
            </w:r>
          </w:p>
        </w:tc>
        <w:tc>
          <w:tcPr>
            <w:tcW w:type="dxa" w:w="36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AbbVie Inc.</w:t>
            </w:r>
          </w:p>
        </w:tc>
        <w:tc>
          <w:tcPr>
            <w:tcW w:type="dxa" w:w="388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Healthcare – Biotech / Pharma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1.5%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NFLX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Netflix, Inc.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Communication Services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1.5%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CRWD</w:t>
            </w:r>
          </w:p>
        </w:tc>
        <w:tc>
          <w:tcPr>
            <w:tcW w:type="dxa" w:w="36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CrowdStrike Holdings, Inc.</w:t>
            </w:r>
          </w:p>
        </w:tc>
        <w:tc>
          <w:tcPr>
            <w:tcW w:type="dxa" w:w="388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Technology – Cybersecurity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1.5%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INTC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Intel Corporation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Technology – Semiconductors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1.5%</w:t>
            </w:r>
          </w:p>
        </w:tc>
      </w:tr>
      <w:tr>
        <w:tc>
          <w:tcPr>
            <w:tcW w:type="dxa" w:w="57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CASH</w:t>
            </w:r>
          </w:p>
        </w:tc>
        <w:tc>
          <w:tcPr>
            <w:tcW w:type="dxa" w:w="360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Cash / Money Market Reserve</w:t>
            </w:r>
          </w:p>
        </w:tc>
        <w:tc>
          <w:tcPr>
            <w:tcW w:type="dxa" w:w="388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Cash &amp; Equivalents</w:t>
            </w:r>
          </w:p>
        </w:tc>
        <w:tc>
          <w:tcPr>
            <w:tcW w:type="dxa" w:w="1152"/>
            <w:shd w:val="clear" w:color="auto" w:fill="F6F6F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15.0%</w:t>
            </w:r>
          </w:p>
        </w:tc>
      </w:tr>
      <w:tr>
        <w:tc>
          <w:tcPr>
            <w:tcW w:type="dxa" w:w="576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</w:r>
          </w:p>
        </w:tc>
        <w:tc>
          <w:tcPr>
            <w:tcW w:type="dxa" w:w="1008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</w:r>
          </w:p>
        </w:tc>
        <w:tc>
          <w:tcPr>
            <w:tcW w:type="dxa" w:w="3600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</w:r>
          </w:p>
        </w:tc>
        <w:tc>
          <w:tcPr>
            <w:tcW w:type="dxa" w:w="3888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cs="Calibri" w:eastAsia="Calibri"/>
                <w:b w:val="0"/>
                <w:color w:val="000000"/>
                <w:sz w:val="18"/>
              </w:rPr>
              <w:t>TOTAL</w:t>
            </w:r>
          </w:p>
        </w:tc>
        <w:tc>
          <w:tcPr>
            <w:tcW w:type="dxa" w:w="1152"/>
            <w:tcBorders>
              <w:top w:val="nil"/>
              <w:left w:val="nil"/>
              <w:bottom w:val="single" w:sz="4" w:color="B0B0B0"/>
              <w:right w:val="nil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100.0%</w:t>
            </w:r>
          </w:p>
        </w:tc>
      </w:tr>
    </w:tbl>
    <w:p>
      <w:pPr>
        <w:spacing w:before="160" w:after="40" w:line="240" w:lineRule="auto"/>
        <w:pBdr>
          <w:bottom w:val="single" w:sz="6" w:space="1" w:color="B0B0B0"/>
        </w:pBdr>
      </w:pPr>
      <w:r>
        <w:rPr>
          <w:rFonts w:ascii="Calibri" w:hAnsi="Calibri" w:cs="Calibri" w:eastAsia="Calibri"/>
          <w:b/>
          <w:color w:val="000000"/>
          <w:sz w:val="22"/>
        </w:rPr>
        <w:t>8. SOURCES &amp; METHODOLOGY</w:t>
      </w:r>
    </w:p>
    <w:p>
      <w:pPr>
        <w:pStyle w:val="ListBullet"/>
        <w:spacing w:after="0"/>
      </w:pPr>
      <w:r>
        <w:rPr>
          <w:rFonts w:ascii="Calibri" w:hAnsi="Calibri" w:cs="Calibri" w:eastAsia="Calibri"/>
          <w:b w:val="0"/>
          <w:color w:val="404040"/>
          <w:sz w:val="16"/>
        </w:rPr>
        <w:t>FOMC: Kiplinger live blog, CBS News (Apr 29 2026), CNBC preview (Apr 28 2026), CME FedWatch.</w:t>
      </w:r>
    </w:p>
    <w:p>
      <w:pPr>
        <w:pStyle w:val="ListBullet"/>
        <w:spacing w:after="0"/>
      </w:pPr>
      <w:r>
        <w:rPr>
          <w:rFonts w:ascii="Calibri" w:hAnsi="Calibri" w:cs="Calibri" w:eastAsia="Calibri"/>
          <w:b w:val="0"/>
          <w:color w:val="404040"/>
          <w:sz w:val="16"/>
        </w:rPr>
        <w:t>Mag-4 earnings preview: Morningstar, TipRanks, Bloomberg (80-second window), Motley Fool, FX Leaders, Yahoo Finance.</w:t>
      </w:r>
    </w:p>
    <w:p>
      <w:pPr>
        <w:pStyle w:val="ListBullet"/>
        <w:spacing w:after="0"/>
      </w:pPr>
      <w:r>
        <w:rPr>
          <w:rFonts w:ascii="Calibri" w:hAnsi="Calibri" w:cs="Calibri" w:eastAsia="Calibri"/>
          <w:b w:val="0"/>
          <w:color w:val="404040"/>
          <w:sz w:val="16"/>
        </w:rPr>
        <w:t>Visa Q2 results: BigGo Finance, Quiver Quantitative, Investing.com, Benzinga, Stocktitan, The Motley Fool (Apr 28 2026).</w:t>
      </w:r>
    </w:p>
    <w:p>
      <w:pPr>
        <w:pStyle w:val="ListBullet"/>
        <w:spacing w:after="0"/>
      </w:pPr>
      <w:r>
        <w:rPr>
          <w:rFonts w:ascii="Calibri" w:hAnsi="Calibri" w:cs="Calibri" w:eastAsia="Calibri"/>
          <w:b w:val="0"/>
          <w:color w:val="404040"/>
          <w:sz w:val="16"/>
        </w:rPr>
        <w:t>WTI / oil: Trading Economics, FX Daily Report (Apr 29), Angle360NG, Polymarket WTI April 2026.</w:t>
      </w:r>
    </w:p>
    <w:p>
      <w:pPr>
        <w:pStyle w:val="ListBullet"/>
        <w:spacing w:after="0"/>
      </w:pPr>
      <w:r>
        <w:rPr>
          <w:rFonts w:ascii="Calibri" w:hAnsi="Calibri" w:cs="Calibri" w:eastAsia="Calibri"/>
          <w:b w:val="0"/>
          <w:color w:val="404040"/>
          <w:sz w:val="16"/>
        </w:rPr>
        <w:t>S&amp;P futures / pre-market: Investing.com S&amp;P Futures, CNN pre-market, Schwab Market Update.</w:t>
      </w:r>
    </w:p>
    <w:p>
      <w:pPr>
        <w:pStyle w:val="ListBullet"/>
        <w:spacing w:after="0"/>
      </w:pPr>
      <w:r>
        <w:rPr>
          <w:rFonts w:ascii="Calibri" w:hAnsi="Calibri" w:cs="Calibri" w:eastAsia="Calibri"/>
          <w:b w:val="0"/>
          <w:color w:val="404040"/>
          <w:sz w:val="16"/>
        </w:rPr>
        <w:t>AI-complex / OpenAI miss: WSJ via CNBC summary; Verifiedinvesting trading recap (Apr 28).</w:t>
      </w:r>
    </w:p>
    <w:p>
      <w:pPr>
        <w:pStyle w:val="ListBullet"/>
        <w:spacing w:after="0"/>
      </w:pPr>
      <w:r>
        <w:rPr>
          <w:rFonts w:ascii="Calibri" w:hAnsi="Calibri" w:cs="Calibri" w:eastAsia="Calibri"/>
          <w:b w:val="0"/>
          <w:color w:val="404040"/>
          <w:sz w:val="16"/>
        </w:rPr>
        <w:t>LLY preview: Morningstar, GuruFocus, Yahoo Finance, Meyka, TIKR.</w:t>
      </w:r>
    </w:p>
    <w:p>
      <w:pPr>
        <w:spacing w:before="0" w:after="40" w:line="276" w:lineRule="auto"/>
      </w:pPr>
    </w:p>
    <w:p>
      <w:pPr>
        <w:spacing w:before="0" w:after="40" w:line="276" w:lineRule="auto"/>
      </w:pPr>
      <w:r>
        <w:rPr>
          <w:rFonts w:ascii="Calibri" w:hAnsi="Calibri" w:cs="Calibri" w:eastAsia="Calibri"/>
          <w:b w:val="0"/>
          <w:color w:val="404040"/>
          <w:sz w:val="16"/>
        </w:rPr>
        <w:t>METHODOLOGY: Numbers tagged SOURCED (live web search at write time), CONFIRMED (user-provided ground truth), or CALIBRATED (fit to reconcile aggregates). This report contains SOURCED market data and CALIBRATED intraday deltas. No CALIBRATED position-level returns are presented as SOURCED. Trade discipline (per IPS v1.0): every recommendation carries confidence, size, entry, price stop, thesis stop, pre-mortem.</w:t>
      </w:r>
    </w:p>
    <w:p>
      <w:pPr>
        <w:spacing w:before="0" w:after="40" w:line="276" w:lineRule="auto"/>
      </w:pPr>
      <w:r>
        <w:rPr>
          <w:rFonts w:ascii="Calibri" w:hAnsi="Calibri" w:cs="Calibri" w:eastAsia="Calibri"/>
          <w:b w:val="0"/>
          <w:color w:val="404040"/>
          <w:sz w:val="16"/>
        </w:rPr>
        <w:t>DISCLAIMER: Automated pre-market portfolio report. Generated on demand at user request as a re-run of the 08:50 scheduled report. Prices intraday/approximate. Past performance not indicative of future results. Pre-authorized wealth-management portfolio governed by WM_Growth_Portfolio_IPS_v1.0.docx.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