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3864"/>
            <w:tcMar>
              <w:top w:w="180" w:type="dxa"/>
              <w:left w:w="200" w:type="dxa"/>
              <w:bottom w:w="60" w:type="dxa"/>
              <w:right w:w="20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36"/>
              </w:rPr>
              <w:t>WM LONG-TERM GROWTH PORTFOLIO</w:t>
            </w:r>
          </w:p>
        </w:tc>
      </w:tr>
      <w:tr>
        <w:tc>
          <w:tcPr>
            <w:tcW w:type="dxa" w:w="9360"/>
            <w:shd w:val="clear" w:color="auto" w:fill="1F3864"/>
            <w:tcMar>
              <w:top w:w="0" w:type="dxa"/>
              <w:left w:w="200" w:type="dxa"/>
              <w:bottom w:w="180" w:type="dxa"/>
              <w:right w:w="200" w:type="dxa"/>
            </w:tcMar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/>
                <w:color w:val="D5E8F0"/>
                <w:sz w:val="22"/>
              </w:rPr>
              <w:t>DAILY PRE-MARKET REPORT  |  Friday, April 17, 2026  |  Weekly Wrap &amp; UNH Positioning</w:t>
            </w:r>
          </w:p>
        </w:tc>
      </w:tr>
    </w:tbl>
    <w:p>
      <w:pPr>
        <w:spacing w:before="200" w:after="80"/>
      </w:pPr>
      <w:r>
        <w:rPr>
          <w:rFonts w:ascii="Calibri" w:hAnsi="Calibri" w:eastAsia="Calibri" w:cs="Calibri"/>
          <w:b/>
          <w:i w:val="0"/>
          <w:color w:val="595959"/>
          <w:sz w:val="22"/>
        </w:rPr>
        <w:t xml:space="preserve">Prepared for:  </w:t>
      </w:r>
      <w:r>
        <w:rPr>
          <w:rFonts w:ascii="Calibri" w:hAnsi="Calibri" w:eastAsia="Calibri" w:cs="Calibri"/>
          <w:b w:val="0"/>
          <w:i w:val="0"/>
          <w:sz w:val="22"/>
        </w:rPr>
        <w:t>Aaron (aaronh0125@icloud.com)</w:t>
      </w:r>
      <w:r>
        <w:rPr>
          <w:rFonts w:ascii="Calibri" w:hAnsi="Calibri" w:eastAsia="Calibri" w:cs="Calibri"/>
          <w:b/>
          <w:i w:val="0"/>
          <w:color w:val="595959"/>
          <w:sz w:val="22"/>
        </w:rPr>
        <w:t xml:space="preserve">      Report time:  </w:t>
      </w:r>
      <w:r>
        <w:rPr>
          <w:rFonts w:ascii="Calibri" w:hAnsi="Calibri" w:eastAsia="Calibri" w:cs="Calibri"/>
          <w:b w:val="0"/>
          <w:i w:val="0"/>
          <w:sz w:val="22"/>
        </w:rPr>
        <w:t>8:45 AM ET  (run early by request)</w:t>
      </w:r>
    </w:p>
    <w:p>
      <w:pPr>
        <w:shd w:val="clear" w:color="auto" w:fill="1F3864"/>
        <w:spacing w:before="120" w:after="120"/>
        <w:ind w:left="120"/>
      </w:pPr>
      <w:r>
        <w:rPr>
          <w:rFonts w:ascii="Calibri" w:hAnsi="Calibri" w:eastAsia="Calibri" w:cs="Calibri"/>
          <w:b/>
          <w:i w:val="0"/>
          <w:color w:val="FFFFFF"/>
          <w:sz w:val="26"/>
        </w:rPr>
        <w:t>1.  DATE &amp; MARKET SNAPSHOT — Friday, April 17, 2026</w:t>
      </w:r>
    </w:p>
    <w:p>
      <w:pPr>
        <w:pBdr>
          <w:bottom w:val="single" w:sz="6" w:space="1" w:color="C9A227"/>
        </w:pBdr>
      </w:pPr>
      <w:r/>
    </w:p>
    <w:p>
      <w:pPr>
        <w:spacing w:before="160" w:after="40"/>
      </w:pPr>
      <w:r>
        <w:rPr>
          <w:rFonts w:ascii="Calibri" w:hAnsi="Calibri" w:eastAsia="Calibri" w:cs="Calibri"/>
          <w:b/>
          <w:i w:val="0"/>
          <w:color w:val="1F3864"/>
          <w:sz w:val="22"/>
        </w:rPr>
        <w:t>Overnight / Pre-Market Futures (as of 8:30 AM ET)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1440"/>
        <w:gridCol w:w="1872"/>
        <w:gridCol w:w="3600"/>
      </w:tblGrid>
      <w:tr>
        <w:tc>
          <w:tcPr>
            <w:tcW w:type="dxa" w:w="2448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Index / Instrument</w:t>
            </w:r>
          </w:p>
        </w:tc>
        <w:tc>
          <w:tcPr>
            <w:tcW w:type="dxa" w:w="144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Level</w:t>
            </w:r>
          </w:p>
        </w:tc>
        <w:tc>
          <w:tcPr>
            <w:tcW w:type="dxa" w:w="1872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Change</w:t>
            </w:r>
          </w:p>
        </w:tc>
        <w:tc>
          <w:tcPr>
            <w:tcW w:type="dxa" w:w="36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Commentary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S&amp;P 500 Futures (ES)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7,028.50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+5.50  (+0.08%)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Consolidating near record; limited upside ahead of Fed speakers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Nasdaq-100 Futures (NQ)</w:t>
            </w:r>
          </w:p>
        </w:tc>
        <w:tc>
          <w:tcPr>
            <w:tcW w:type="dxa" w:w="144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24,180</w:t>
            </w:r>
          </w:p>
        </w:tc>
        <w:tc>
          <w:tcPr>
            <w:tcW w:type="dxa" w:w="187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+48  (+0.20%)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Semis lead on TSMC follow-through — NVDA, AVGO, MU pre-market bid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Dow Futures (YM)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44,720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−22  (−0.05%)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Lagging on healthcare/financials consolidation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VIX</w:t>
            </w:r>
          </w:p>
        </w:tc>
        <w:tc>
          <w:tcPr>
            <w:tcW w:type="dxa" w:w="144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17.85</w:t>
            </w:r>
          </w:p>
        </w:tc>
        <w:tc>
          <w:tcPr>
            <w:tcW w:type="dxa" w:w="187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−0.37  (−2.0%)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Continues normalization — lowest since Apr 10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10-Yr Treasury Yield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4.12%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−2 bps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Soft overnight — supports rate-sensitive (NEE, AMT, PLD)</w:t>
            </w:r>
          </w:p>
        </w:tc>
      </w:tr>
      <w:tr>
        <w:tc>
          <w:tcPr>
            <w:tcW w:type="dxa" w:w="244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WTI Crude</w:t>
            </w:r>
          </w:p>
        </w:tc>
        <w:tc>
          <w:tcPr>
            <w:tcW w:type="dxa" w:w="144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$91.30</w:t>
            </w:r>
          </w:p>
        </w:tc>
        <w:tc>
          <w:tcPr>
            <w:tcW w:type="dxa" w:w="187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−$0.80  (−0.87%)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Iran deal headlines weighing; watch XOM/EOG for trim trigger</w:t>
            </w:r>
          </w:p>
        </w:tc>
      </w:tr>
      <w:tr>
        <w:tc>
          <w:tcPr>
            <w:tcW w:type="dxa" w:w="244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DXY (Dollar Index)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103.20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−0.15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Dollar softening aids TSM, multinational earnings</w:t>
            </w:r>
          </w:p>
        </w:tc>
      </w:tr>
    </w:tbl>
    <w:p>
      <w:pPr>
        <w:spacing w:before="160" w:after="40"/>
      </w:pPr>
      <w:r>
        <w:rPr>
          <w:rFonts w:ascii="Calibri" w:hAnsi="Calibri" w:eastAsia="Calibri" w:cs="Calibri"/>
          <w:b/>
          <w:i w:val="0"/>
          <w:color w:val="1F3864"/>
          <w:sz w:val="22"/>
        </w:rPr>
        <w:t>Key Macro Context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i w:val="0"/>
          <w:color w:val="1F3864"/>
          <w:sz w:val="22"/>
        </w:rPr>
        <w:t>Market tone:</w:t>
      </w:r>
      <w:r>
        <w:rPr>
          <w:rFonts w:ascii="Calibri" w:hAnsi="Calibri" w:eastAsia="Calibri" w:cs="Calibri"/>
          <w:b w:val="0"/>
          <w:i w:val="0"/>
          <w:sz w:val="22"/>
        </w:rPr>
        <w:t xml:space="preserve"> S&amp;P 500 closed Thu Apr 16 at 7,015.82 (−0.10%) — modest consolidation after the Apr 15 ATH of 7,022.95. VIX 18.22 → 17.85 overnight confirms healthy digestion, not distribution.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i w:val="0"/>
          <w:color w:val="1F3864"/>
          <w:sz w:val="22"/>
        </w:rPr>
        <w:t>Fed speakers:</w:t>
      </w:r>
      <w:r>
        <w:rPr>
          <w:rFonts w:ascii="Calibri" w:hAnsi="Calibri" w:eastAsia="Calibri" w:cs="Calibri"/>
          <w:b w:val="0"/>
          <w:i w:val="0"/>
          <w:sz w:val="22"/>
        </w:rPr>
        <w:t xml:space="preserve"> Fed's Daly (10:00 AM ET) and Waller (2:30 PM ET) on the tape today — market pricing 22% probability of a May cut, 65% for July. Any dovish lean would support NEE, AMT, PLD and extend the rate-sensitive rotation.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i w:val="0"/>
          <w:color w:val="1F3864"/>
          <w:sz w:val="22"/>
        </w:rPr>
        <w:t>Oil / Iran:</w:t>
      </w:r>
      <w:r>
        <w:rPr>
          <w:rFonts w:ascii="Calibri" w:hAnsi="Calibri" w:eastAsia="Calibri" w:cs="Calibri"/>
          <w:b w:val="0"/>
          <w:i w:val="0"/>
          <w:sz w:val="22"/>
        </w:rPr>
        <w:t xml:space="preserve"> WTI $91.30, down 13% from the Apr 13 $105 peak. Iran ceasefire extension talks reportedly advancing. Continues to compress energy-sector upside. Evaluate XOM/EOG trim if WTI &lt; $90.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i w:val="0"/>
          <w:color w:val="1F3864"/>
          <w:sz w:val="22"/>
        </w:rPr>
        <w:t>Calendar note:</w:t>
      </w:r>
      <w:r>
        <w:rPr>
          <w:rFonts w:ascii="Calibri" w:hAnsi="Calibri" w:eastAsia="Calibri" w:cs="Calibri"/>
          <w:b w:val="0"/>
          <w:i w:val="0"/>
          <w:sz w:val="22"/>
        </w:rPr>
        <w:t xml:space="preserve"> Trading holiday-shortened next week (Good Friday Apr 18 — market CLOSED today? Confirm calendar). If U.S. markets closed today, this report stands as Monday pre-market brief. Given user said to run early, proceeding with full report.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i w:val="0"/>
          <w:color w:val="1F3864"/>
          <w:sz w:val="22"/>
        </w:rPr>
        <w:t>Next week:</w:t>
      </w:r>
      <w:r>
        <w:rPr>
          <w:rFonts w:ascii="Calibri" w:hAnsi="Calibri" w:eastAsia="Calibri" w:cs="Calibri"/>
          <w:b w:val="0"/>
          <w:i w:val="0"/>
          <w:sz w:val="22"/>
        </w:rPr>
        <w:t xml:space="preserve"> Big week ahead: UNH Q1 earnings Mon Apr 21 (est. EPS $6.67), INTC Q1 Wed Apr 23 (18A yield focus). Portfolio is positioned to add on both with 20.0% cash.</w:t>
      </w:r>
    </w:p>
    <w:p>
      <w:pPr>
        <w:shd w:val="clear" w:color="auto" w:fill="1F3864"/>
        <w:spacing w:before="120" w:after="120"/>
        <w:ind w:left="120"/>
      </w:pPr>
      <w:r>
        <w:rPr>
          <w:rFonts w:ascii="Calibri" w:hAnsi="Calibri" w:eastAsia="Calibri" w:cs="Calibri"/>
          <w:b/>
          <w:i w:val="0"/>
          <w:color w:val="FFFFFF"/>
          <w:sz w:val="26"/>
        </w:rPr>
        <w:t>2.  WEEKLY PERFORMANCE RECAP — Apr 9–16, 2026</w:t>
      </w:r>
    </w:p>
    <w:p>
      <w:pPr>
        <w:pBdr>
          <w:bottom w:val="single" w:sz="6" w:space="1" w:color="C9A227"/>
        </w:pBdr>
      </w:pPr>
      <w:r/>
    </w:p>
    <w:p>
      <w:pPr>
        <w:spacing w:before="40" w:after="120" w:line="300" w:lineRule="auto"/>
      </w:pPr>
      <w:r>
        <w:rPr>
          <w:rFonts w:ascii="Calibri" w:hAnsi="Calibri" w:eastAsia="Calibri" w:cs="Calibri"/>
          <w:b w:val="0"/>
          <w:i w:val="0"/>
          <w:sz w:val="22"/>
        </w:rPr>
        <w:t>The week closed with exceptional absolute and relative performance. Per the rebuilt Portfolio_Performance_Apr16_2026 files, the TWR measurement stands at +4.867% since inception (6 trading days) against the S&amp;P 500's +3.30% — alpha of +1.513% on a geometric basis, or +151 basis points. Breakdown: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1584"/>
        <w:gridCol w:w="4608"/>
      </w:tblGrid>
      <w:tr>
        <w:tc>
          <w:tcPr>
            <w:tcW w:type="dxa" w:w="3168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Measure</w:t>
            </w:r>
          </w:p>
        </w:tc>
        <w:tc>
          <w:tcPr>
            <w:tcW w:type="dxa" w:w="1584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Value</w:t>
            </w:r>
          </w:p>
        </w:tc>
        <w:tc>
          <w:tcPr>
            <w:tcW w:type="dxa" w:w="4608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Driver</w:t>
            </w:r>
          </w:p>
        </w:tc>
      </w:tr>
      <w:tr>
        <w:tc>
          <w:tcPr>
            <w:tcW w:type="dxa" w:w="31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Sub-Period 1 (Apr 9–12)</w:t>
            </w:r>
          </w:p>
        </w:tc>
        <w:tc>
          <w:tcPr>
            <w:tcW w:type="dxa" w:w="158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+1.793%</w:t>
            </w:r>
          </w:p>
        </w:tc>
        <w:tc>
          <w:tcPr>
            <w:tcW w:type="dxa" w:w="460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Broad tech rally; benign CPI print Apr 10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Sub-Period 2 (Apr 13–16)</w:t>
            </w:r>
          </w:p>
        </w:tc>
        <w:tc>
          <w:tcPr>
            <w:tcW w:type="dxa" w:w="158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+3.020%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Hormuz energy spike; JPM Q1 beat; ORCL +12.7% 2-day; TSMC Q1 record</w:t>
            </w:r>
          </w:p>
        </w:tc>
      </w:tr>
      <w:tr>
        <w:tc>
          <w:tcPr>
            <w:tcW w:type="dxa" w:w="3168"/>
            <w:shd w:val="clear" w:color="auto" w:fill="D5E8F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Chained TWR</w:t>
            </w:r>
          </w:p>
        </w:tc>
        <w:tc>
          <w:tcPr>
            <w:tcW w:type="dxa" w:w="1584"/>
            <w:shd w:val="clear" w:color="auto" w:fill="D5E8F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+4.867%</w:t>
            </w:r>
          </w:p>
        </w:tc>
        <w:tc>
          <w:tcPr>
            <w:tcW w:type="dxa" w:w="4608"/>
            <w:shd w:val="clear" w:color="auto" w:fill="D5E8F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(1 + SP1) × (1 + SP2) − 1</w:t>
            </w:r>
          </w:p>
        </w:tc>
      </w:tr>
      <w:tr>
        <w:tc>
          <w:tcPr>
            <w:tcW w:type="dxa" w:w="316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S&amp;P 500 Benchmark</w:t>
            </w:r>
          </w:p>
        </w:tc>
        <w:tc>
          <w:tcPr>
            <w:tcW w:type="dxa" w:w="158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+3.30%</w:t>
            </w:r>
          </w:p>
        </w:tc>
        <w:tc>
          <w:tcPr>
            <w:tcW w:type="dxa" w:w="460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Same period</w:t>
            </w:r>
          </w:p>
        </w:tc>
      </w:tr>
      <w:tr>
        <w:tc>
          <w:tcPr>
            <w:tcW w:type="dxa" w:w="3168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Alpha (geometric)</w:t>
            </w:r>
          </w:p>
        </w:tc>
        <w:tc>
          <w:tcPr>
            <w:tcW w:type="dxa" w:w="1584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+1.513%</w:t>
            </w:r>
          </w:p>
        </w:tc>
        <w:tc>
          <w:tcPr>
            <w:tcW w:type="dxa" w:w="4608"/>
            <w:shd w:val="clear" w:color="auto" w:fill="C6EFCE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Active rebalance + sector selection + cash discipline</w:t>
            </w:r>
          </w:p>
        </w:tc>
      </w:tr>
    </w:tbl>
    <w:p>
      <w:pPr>
        <w:spacing w:before="40" w:after="120" w:line="300" w:lineRule="auto"/>
      </w:pPr>
      <w:r>
        <w:rPr>
          <w:rFonts w:ascii="Calibri" w:hAnsi="Calibri" w:eastAsia="Calibri" w:cs="Calibri"/>
          <w:b w:val="0"/>
          <w:i w:val="0"/>
          <w:sz w:val="22"/>
        </w:rPr>
        <w:t>Top single contributors: META (+556 bps), AMZN (+557 bps), XOM (+313 bps from Hormuz rebalance), JPM (+362 bps on earnings), ORCL (+271 bps on AI cloud). Only material drag was LLY (−174 bps).</w:t>
      </w:r>
    </w:p>
    <w:p>
      <w:pPr>
        <w:shd w:val="clear" w:color="auto" w:fill="1F3864"/>
        <w:spacing w:before="120" w:after="120"/>
        <w:ind w:left="120"/>
      </w:pPr>
      <w:r>
        <w:rPr>
          <w:rFonts w:ascii="Calibri" w:hAnsi="Calibri" w:eastAsia="Calibri" w:cs="Calibri"/>
          <w:b/>
          <w:i w:val="0"/>
          <w:color w:val="FFFFFF"/>
          <w:sz w:val="26"/>
        </w:rPr>
        <w:t>3.  SCAN 1 — HOLDINGS REVIEW</w:t>
      </w:r>
    </w:p>
    <w:p>
      <w:pPr>
        <w:pBdr>
          <w:bottom w:val="single" w:sz="6" w:space="1" w:color="C9A227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2016"/>
        <w:gridCol w:w="4464"/>
      </w:tblGrid>
      <w:tr>
        <w:tc>
          <w:tcPr>
            <w:tcW w:type="dxa" w:w="144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Ticker</w:t>
            </w:r>
          </w:p>
        </w:tc>
        <w:tc>
          <w:tcPr>
            <w:tcW w:type="dxa" w:w="144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Weight</w:t>
            </w:r>
          </w:p>
        </w:tc>
        <w:tc>
          <w:tcPr>
            <w:tcW w:type="dxa" w:w="2016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4464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Morning Note</w:t>
            </w:r>
          </w:p>
        </w:tc>
      </w:tr>
      <w:tr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LLY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4.0%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WATCH $920</w:t>
            </w:r>
          </w:p>
        </w:tc>
        <w:tc>
          <w:tcPr>
            <w:tcW w:type="dxa" w:w="44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Closed Apr 16 at $926.40. India generic headlines have stabilized. If $920 trigger hit today, add 0.5% (→4.5%).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ORCL</w:t>
            </w:r>
          </w:p>
        </w:tc>
        <w:tc>
          <w:tcPr>
            <w:tcW w:type="dxa" w:w="144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3.0%</w:t>
            </w:r>
          </w:p>
        </w:tc>
        <w:tc>
          <w:tcPr>
            <w:tcW w:type="dxa" w:w="201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DO NOT CHASE</w:t>
            </w:r>
          </w:p>
        </w:tc>
        <w:tc>
          <w:tcPr>
            <w:tcW w:type="dxa" w:w="446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Up ~20% over two days. Let it breathe. Add 0.5% only on 8–10% pullback to ~$155.</w:t>
            </w:r>
          </w:p>
        </w:tc>
      </w:tr>
      <w:tr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TSM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3.0%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HOLD</w:t>
            </w:r>
          </w:p>
        </w:tc>
        <w:tc>
          <w:tcPr>
            <w:tcW w:type="dxa" w:w="44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Added yesterday on record Q1. Q2 guidance $39–40.2B well above estimates. Ride the re-rating.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NVDA</w:t>
            </w:r>
          </w:p>
        </w:tc>
        <w:tc>
          <w:tcPr>
            <w:tcW w:type="dxa" w:w="144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6.5%</w:t>
            </w:r>
          </w:p>
        </w:tc>
        <w:tc>
          <w:tcPr>
            <w:tcW w:type="dxa" w:w="201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HOLD — trim trigger intact</w:t>
            </w:r>
          </w:p>
        </w:tc>
        <w:tc>
          <w:tcPr>
            <w:tcW w:type="dxa" w:w="446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TSMC read-through positive. No trim unless $850 support breaks on volume.</w:t>
            </w:r>
          </w:p>
        </w:tc>
      </w:tr>
      <w:tr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AVGO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4.0%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HOLD</w:t>
            </w:r>
          </w:p>
        </w:tc>
        <w:tc>
          <w:tcPr>
            <w:tcW w:type="dxa" w:w="44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Custom AI ASIC thesis intact. Pre-market +0.8% on TSMC beat follow-through.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MU</w:t>
            </w:r>
          </w:p>
        </w:tc>
        <w:tc>
          <w:tcPr>
            <w:tcW w:type="dxa" w:w="144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2.5%</w:t>
            </w:r>
          </w:p>
        </w:tc>
        <w:tc>
          <w:tcPr>
            <w:tcW w:type="dxa" w:w="201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HOLD</w:t>
            </w:r>
          </w:p>
        </w:tc>
        <w:tc>
          <w:tcPr>
            <w:tcW w:type="dxa" w:w="446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HBM3E demand confirmed by TSMC Q2 guidance — positive cross-read.</w:t>
            </w:r>
          </w:p>
        </w:tc>
      </w:tr>
      <w:tr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JPM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4.5%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HOLD</w:t>
            </w:r>
          </w:p>
        </w:tc>
        <w:tc>
          <w:tcPr>
            <w:tcW w:type="dxa" w:w="44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Earnings beat digested. Next catalyst is credit trends in Q2 report. Hold.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XOM / EOG</w:t>
            </w:r>
          </w:p>
        </w:tc>
        <w:tc>
          <w:tcPr>
            <w:tcW w:type="dxa" w:w="144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2.5% / 2.0%</w:t>
            </w:r>
          </w:p>
        </w:tc>
        <w:tc>
          <w:tcPr>
            <w:tcW w:type="dxa" w:w="201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TRIM TRIGGER ACTIVE</w:t>
            </w:r>
          </w:p>
        </w:tc>
        <w:tc>
          <w:tcPr>
            <w:tcW w:type="dxa" w:w="446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WTI now $91.30 — within $1.30 of $90 trim trigger. If breaches, trim XOM 2.5%→2.0%, EOG 2.0%→1.5%, CASH +1.0%.</w:t>
            </w:r>
          </w:p>
        </w:tc>
      </w:tr>
      <w:tr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META</w:t>
            </w:r>
          </w:p>
        </w:tc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4.5%</w:t>
            </w:r>
          </w:p>
        </w:tc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HOLD</w:t>
            </w:r>
          </w:p>
        </w:tc>
        <w:tc>
          <w:tcPr>
            <w:tcW w:type="dxa" w:w="44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Biggest weekly contributor. CoreWeave $21B AI cloud deal continues to validate thesis.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DASH</w:t>
            </w:r>
          </w:p>
        </w:tc>
        <w:tc>
          <w:tcPr>
            <w:tcW w:type="dxa" w:w="144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2.0%</w:t>
            </w:r>
          </w:p>
        </w:tc>
        <w:tc>
          <w:tcPr>
            <w:tcW w:type="dxa" w:w="201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HOLD</w:t>
            </w:r>
          </w:p>
        </w:tc>
        <w:tc>
          <w:tcPr>
            <w:tcW w:type="dxa" w:w="446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Quiet week. Next catalyst is Q1 earnings late-April.</w:t>
            </w:r>
          </w:p>
        </w:tc>
      </w:tr>
    </w:tbl>
    <w:p>
      <w:pPr>
        <w:shd w:val="clear" w:color="auto" w:fill="1F3864"/>
        <w:spacing w:before="120" w:after="120"/>
        <w:ind w:left="120"/>
      </w:pPr>
      <w:r>
        <w:rPr>
          <w:rFonts w:ascii="Calibri" w:hAnsi="Calibri" w:eastAsia="Calibri" w:cs="Calibri"/>
          <w:b/>
          <w:i w:val="0"/>
          <w:color w:val="FFFFFF"/>
          <w:sz w:val="26"/>
        </w:rPr>
        <w:t>4.  SCAN 2 — WATCHLIST &amp; NEW OPPORTUNITIES</w:t>
      </w:r>
    </w:p>
    <w:p>
      <w:pPr>
        <w:pBdr>
          <w:bottom w:val="single" w:sz="6" w:space="1" w:color="C9A227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2304"/>
        <w:gridCol w:w="3024"/>
        <w:gridCol w:w="2592"/>
      </w:tblGrid>
      <w:tr>
        <w:tc>
          <w:tcPr>
            <w:tcW w:type="dxa" w:w="144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Ticker</w:t>
            </w:r>
          </w:p>
        </w:tc>
        <w:tc>
          <w:tcPr>
            <w:tcW w:type="dxa" w:w="2304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Setup</w:t>
            </w:r>
          </w:p>
        </w:tc>
        <w:tc>
          <w:tcPr>
            <w:tcW w:type="dxa" w:w="3024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Trigger</w:t>
            </w:r>
          </w:p>
        </w:tc>
        <w:tc>
          <w:tcPr>
            <w:tcW w:type="dxa" w:w="2592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Planned Action</w:t>
            </w:r>
          </w:p>
        </w:tc>
      </w:tr>
      <w:tr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UNH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Pre-earnings (Apr 21)</w:t>
            </w:r>
          </w:p>
        </w:tc>
        <w:tc>
          <w:tcPr>
            <w:tcW w:type="dxa" w:w="30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Q1 EPS &gt; $6.67 consensus + Medicare Advantage guidance intact</w:t>
            </w:r>
          </w:p>
        </w:tc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Add 3.0% → 3.5% on beat day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INTC</w:t>
            </w:r>
          </w:p>
        </w:tc>
        <w:tc>
          <w:tcPr>
            <w:tcW w:type="dxa" w:w="230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Pre-earnings (Apr 23)</w:t>
            </w:r>
          </w:p>
        </w:tc>
        <w:tc>
          <w:tcPr>
            <w:tcW w:type="dxa" w:w="302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Q1 EPS beat + 18A yield ≥ 60% confirmation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Enter 1.0–1.5% fresh position; funded from cash</w:t>
            </w:r>
          </w:p>
        </w:tc>
      </w:tr>
      <w:tr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CRWD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Consolidating $395–400</w:t>
            </w:r>
          </w:p>
        </w:tc>
        <w:tc>
          <w:tcPr>
            <w:tcW w:type="dxa" w:w="30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Pullback to &lt;$385 with volume confirmation</w:t>
            </w:r>
          </w:p>
        </w:tc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Enter 1.5–2.0% fresh position</w:t>
            </w:r>
          </w:p>
        </w:tc>
      </w:tr>
      <w:tr>
        <w:tc>
          <w:tcPr>
            <w:tcW w:type="dxa" w:w="144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NEE</w:t>
            </w:r>
          </w:p>
        </w:tc>
        <w:tc>
          <w:tcPr>
            <w:tcW w:type="dxa" w:w="230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Currently held 2.0%</w:t>
            </w:r>
          </w:p>
        </w:tc>
        <w:tc>
          <w:tcPr>
            <w:tcW w:type="dxa" w:w="302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Dovish Fed tone today + 10Y &lt; 4.05%</w:t>
            </w:r>
          </w:p>
        </w:tc>
        <w:tc>
          <w:tcPr>
            <w:tcW w:type="dxa" w:w="259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Consider add 0.5% (→2.5%) on rate tailwind</w:t>
            </w:r>
          </w:p>
        </w:tc>
      </w:tr>
      <w:tr>
        <w:tc>
          <w:tcPr>
            <w:tcW w:type="dxa" w:w="144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AMT / PLD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Not held — REIT exposure gap</w:t>
            </w:r>
          </w:p>
        </w:tc>
        <w:tc>
          <w:tcPr>
            <w:tcW w:type="dxa" w:w="302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FOMC May dovish signal + rate-cut probability &gt; 75%</w:t>
            </w:r>
          </w:p>
        </w:tc>
        <w:tc>
          <w:tcPr>
            <w:tcW w:type="dxa" w:w="259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Enter 1.5% AMT + 1.5% PLD pair trade</w:t>
            </w:r>
          </w:p>
        </w:tc>
      </w:tr>
    </w:tbl>
    <w:p>
      <w:pPr>
        <w:shd w:val="clear" w:color="auto" w:fill="1F3864"/>
        <w:spacing w:before="120" w:after="120"/>
        <w:ind w:left="120"/>
      </w:pPr>
      <w:r>
        <w:rPr>
          <w:rFonts w:ascii="Calibri" w:hAnsi="Calibri" w:eastAsia="Calibri" w:cs="Calibri"/>
          <w:b/>
          <w:i w:val="0"/>
          <w:color w:val="FFFFFF"/>
          <w:sz w:val="26"/>
        </w:rPr>
        <w:t>5.  CASH RECOMMENDATION</w:t>
      </w:r>
    </w:p>
    <w:p>
      <w:pPr>
        <w:pBdr>
          <w:bottom w:val="single" w:sz="6" w:space="1" w:color="C9A227"/>
        </w:pBdr>
      </w:pPr>
      <w:r/>
    </w:p>
    <w:p>
      <w:pPr>
        <w:pStyle w:val="ListBullet"/>
        <w:spacing w:after="60"/>
      </w:pPr>
      <w:r>
        <w:rPr>
          <w:rFonts w:ascii="Calibri" w:hAnsi="Calibri" w:eastAsia="Calibri" w:cs="Calibri"/>
          <w:b/>
          <w:i w:val="0"/>
          <w:color w:val="1F3864"/>
          <w:sz w:val="22"/>
        </w:rPr>
        <w:t>Current level:</w:t>
      </w:r>
      <w:r>
        <w:rPr>
          <w:rFonts w:ascii="Calibri" w:hAnsi="Calibri" w:eastAsia="Calibri" w:cs="Calibri"/>
          <w:b w:val="0"/>
          <w:i w:val="0"/>
          <w:sz w:val="22"/>
        </w:rPr>
        <w:t xml:space="preserve"> 20.0% — above 15% floor. Well-positioned to deploy into UNH (Apr 21) and INTC (Apr 23) catalysts without breaching minimum.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i w:val="0"/>
          <w:color w:val="1F3864"/>
          <w:sz w:val="22"/>
        </w:rPr>
        <w:t>Today:</w:t>
      </w:r>
      <w:r>
        <w:rPr>
          <w:rFonts w:ascii="Calibri" w:hAnsi="Calibri" w:eastAsia="Calibri" w:cs="Calibri"/>
          <w:b w:val="0"/>
          <w:i w:val="0"/>
          <w:sz w:val="22"/>
        </w:rPr>
        <w:t xml:space="preserve"> No cash action today. Preserve dry powder.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i w:val="0"/>
          <w:color w:val="1F3864"/>
          <w:sz w:val="22"/>
        </w:rPr>
        <w:t>Monday Apr 21 plan:</w:t>
      </w:r>
      <w:r>
        <w:rPr>
          <w:rFonts w:ascii="Calibri" w:hAnsi="Calibri" w:eastAsia="Calibri" w:cs="Calibri"/>
          <w:b w:val="0"/>
          <w:i w:val="0"/>
          <w:sz w:val="22"/>
        </w:rPr>
        <w:t xml:space="preserve"> Reduce 20.0% → 19.5% to fund UNH add (3.0%→3.5%) IF earnings beat. Reduce further to 18.0% to enter INTC 1.0–1.5% on Apr 23 beat.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i w:val="0"/>
          <w:color w:val="1F3864"/>
          <w:sz w:val="22"/>
        </w:rPr>
        <w:t>Longer runway:</w:t>
      </w:r>
      <w:r>
        <w:rPr>
          <w:rFonts w:ascii="Calibri" w:hAnsi="Calibri" w:eastAsia="Calibri" w:cs="Calibri"/>
          <w:b w:val="0"/>
          <w:i w:val="0"/>
          <w:sz w:val="22"/>
        </w:rPr>
        <w:t xml:space="preserve"> Target 10–15% by end of July after INTC + FOMC + any CRWD pullback. Maintain 15% floor through Q2.</w:t>
      </w:r>
    </w:p>
    <w:p>
      <w:pPr>
        <w:shd w:val="clear" w:color="auto" w:fill="1F3864"/>
        <w:spacing w:before="120" w:after="120"/>
        <w:ind w:left="120"/>
      </w:pPr>
      <w:r>
        <w:rPr>
          <w:rFonts w:ascii="Calibri" w:hAnsi="Calibri" w:eastAsia="Calibri" w:cs="Calibri"/>
          <w:b/>
          <w:i w:val="0"/>
          <w:color w:val="FFFFFF"/>
          <w:sz w:val="26"/>
        </w:rPr>
        <w:t>6.  PENDING CATALYSTS — STATUS UPDATE</w:t>
      </w:r>
    </w:p>
    <w:p>
      <w:pPr>
        <w:pBdr>
          <w:bottom w:val="single" w:sz="6" w:space="1" w:color="C9A227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304"/>
        <w:gridCol w:w="1872"/>
        <w:gridCol w:w="3168"/>
      </w:tblGrid>
      <w:tr>
        <w:tc>
          <w:tcPr>
            <w:tcW w:type="dxa" w:w="2016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Date</w:t>
            </w:r>
          </w:p>
        </w:tc>
        <w:tc>
          <w:tcPr>
            <w:tcW w:type="dxa" w:w="2304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Ticker / Event</w:t>
            </w:r>
          </w:p>
        </w:tc>
        <w:tc>
          <w:tcPr>
            <w:tcW w:type="dxa" w:w="1872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Status</w:t>
            </w:r>
          </w:p>
        </w:tc>
        <w:tc>
          <w:tcPr>
            <w:tcW w:type="dxa" w:w="3168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Action if Triggered</w:t>
            </w:r>
          </w:p>
        </w:tc>
      </w:tr>
      <w:tr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Today, 10:00 AM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Fed Daly speech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LIVE</w:t>
            </w:r>
          </w:p>
        </w:tc>
        <w:tc>
          <w:tcPr>
            <w:tcW w:type="dxa" w:w="31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Dovish tone → consider NEE +0.5%</w:t>
            </w:r>
          </w:p>
        </w:tc>
      </w:tr>
      <w:tr>
        <w:tc>
          <w:tcPr>
            <w:tcW w:type="dxa" w:w="201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Today, 2:30 PM</w:t>
            </w:r>
          </w:p>
        </w:tc>
        <w:tc>
          <w:tcPr>
            <w:tcW w:type="dxa" w:w="230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Fed Waller speech</w:t>
            </w:r>
          </w:p>
        </w:tc>
        <w:tc>
          <w:tcPr>
            <w:tcW w:type="dxa" w:w="187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LIVE</w:t>
            </w:r>
          </w:p>
        </w:tc>
        <w:tc>
          <w:tcPr>
            <w:tcW w:type="dxa" w:w="316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Dovish tone → reinforce rate-sensitive tilt</w:t>
            </w:r>
          </w:p>
        </w:tc>
      </w:tr>
      <w:tr>
        <w:tc>
          <w:tcPr>
            <w:tcW w:type="dxa" w:w="2016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Mon Apr 21</w:t>
            </w:r>
          </w:p>
        </w:tc>
        <w:tc>
          <w:tcPr>
            <w:tcW w:type="dxa" w:w="2304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UNH Q1 earnings</w:t>
            </w:r>
          </w:p>
        </w:tc>
        <w:tc>
          <w:tcPr>
            <w:tcW w:type="dxa" w:w="1872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IMMINENT</w:t>
            </w:r>
          </w:p>
        </w:tc>
        <w:tc>
          <w:tcPr>
            <w:tcW w:type="dxa" w:w="3168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Add 3.0%→3.5% on beat</w:t>
            </w:r>
          </w:p>
        </w:tc>
      </w:tr>
      <w:tr>
        <w:tc>
          <w:tcPr>
            <w:tcW w:type="dxa" w:w="2016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Wed Apr 23</w:t>
            </w:r>
          </w:p>
        </w:tc>
        <w:tc>
          <w:tcPr>
            <w:tcW w:type="dxa" w:w="2304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INTC Q1 earnings</w:t>
            </w:r>
          </w:p>
        </w:tc>
        <w:tc>
          <w:tcPr>
            <w:tcW w:type="dxa" w:w="1872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IMMINENT</w:t>
            </w:r>
          </w:p>
        </w:tc>
        <w:tc>
          <w:tcPr>
            <w:tcW w:type="dxa" w:w="3168"/>
            <w:shd w:val="clear" w:color="auto" w:fill="FFF2CC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Enter 1.0–1.5% on beat + 18A yield</w:t>
            </w:r>
          </w:p>
        </w:tc>
      </w:tr>
      <w:tr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Ongoing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LLY @ $920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ACTIVE WATCH</w:t>
            </w:r>
          </w:p>
        </w:tc>
        <w:tc>
          <w:tcPr>
            <w:tcW w:type="dxa" w:w="31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Add 0.5% on sustained close below</w:t>
            </w:r>
          </w:p>
        </w:tc>
      </w:tr>
      <w:tr>
        <w:tc>
          <w:tcPr>
            <w:tcW w:type="dxa" w:w="2016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Ongoing</w:t>
            </w:r>
          </w:p>
        </w:tc>
        <w:tc>
          <w:tcPr>
            <w:tcW w:type="dxa" w:w="2304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WTI crude $90</w:t>
            </w:r>
          </w:p>
        </w:tc>
        <w:tc>
          <w:tcPr>
            <w:tcW w:type="dxa" w:w="1872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ACTIVE WATCH</w:t>
            </w:r>
          </w:p>
        </w:tc>
        <w:tc>
          <w:tcPr>
            <w:tcW w:type="dxa" w:w="3168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Trim XOM/EOG 0.5% each</w:t>
            </w:r>
          </w:p>
        </w:tc>
      </w:tr>
      <w:tr>
        <w:tc>
          <w:tcPr>
            <w:tcW w:type="dxa" w:w="2016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May 2026</w:t>
            </w:r>
          </w:p>
        </w:tc>
        <w:tc>
          <w:tcPr>
            <w:tcW w:type="dxa" w:w="230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FOMC meeting</w:t>
            </w:r>
          </w:p>
        </w:tc>
        <w:tc>
          <w:tcPr>
            <w:tcW w:type="dxa" w:w="187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FORWARD</w:t>
            </w:r>
          </w:p>
        </w:tc>
        <w:tc>
          <w:tcPr>
            <w:tcW w:type="dxa" w:w="3168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2+ cuts signaled → deploy 5–10% into NEE/AMT/PLD</w:t>
            </w:r>
          </w:p>
        </w:tc>
      </w:tr>
    </w:tbl>
    <w:p>
      <w:pPr>
        <w:shd w:val="clear" w:color="auto" w:fill="1F3864"/>
        <w:spacing w:before="120" w:after="120"/>
        <w:ind w:left="120"/>
      </w:pPr>
      <w:r>
        <w:rPr>
          <w:rFonts w:ascii="Calibri" w:hAnsi="Calibri" w:eastAsia="Calibri" w:cs="Calibri"/>
          <w:b/>
          <w:i w:val="0"/>
          <w:color w:val="FFFFFF"/>
          <w:sz w:val="26"/>
        </w:rPr>
        <w:t>7.  RECOMMENDED WEIGHT CHANGES — April 17, 2026</w:t>
      </w:r>
    </w:p>
    <w:p>
      <w:pPr>
        <w:pBdr>
          <w:bottom w:val="single" w:sz="6" w:space="1" w:color="C9A227"/>
        </w:pBdr>
      </w:pPr>
      <w:r/>
    </w:p>
    <w:p>
      <w:pPr>
        <w:spacing w:before="40" w:after="120" w:line="300" w:lineRule="auto"/>
      </w:pPr>
      <w:r>
        <w:rPr>
          <w:rFonts w:ascii="Calibri" w:hAnsi="Calibri" w:eastAsia="Calibri" w:cs="Calibri"/>
          <w:b w:val="0"/>
          <w:i w:val="0"/>
          <w:sz w:val="22"/>
        </w:rPr>
        <w:t>Recommendation: NO WEIGHT CHANGES TODAY. Cash preserved at 20.0%. Rationale — major catalysts are Monday and Wednesday next week; position discipline dictates preserving dry powder. The weekly TWR of +4.867% was earned, not chased.</w:t>
      </w:r>
    </w:p>
    <w:p>
      <w:pPr>
        <w:spacing w:before="40" w:after="120" w:line="300" w:lineRule="auto"/>
      </w:pPr>
      <w:r>
        <w:rPr>
          <w:rFonts w:ascii="Calibri" w:hAnsi="Calibri" w:eastAsia="Calibri" w:cs="Calibri"/>
          <w:b w:val="0"/>
          <w:i/>
          <w:sz w:val="22"/>
        </w:rPr>
        <w:t>Exception — two conditional triggers to monitor intraday: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i w:val="0"/>
          <w:color w:val="1F3864"/>
          <w:sz w:val="22"/>
        </w:rPr>
        <w:t>LLY TRIGGER:</w:t>
      </w:r>
      <w:r>
        <w:rPr>
          <w:rFonts w:ascii="Calibri" w:hAnsi="Calibri" w:eastAsia="Calibri" w:cs="Calibri"/>
          <w:b w:val="0"/>
          <w:i w:val="0"/>
          <w:sz w:val="22"/>
        </w:rPr>
        <w:t xml:space="preserve"> If LLY closes below $920 today, add 0.5% (4.0% → 4.5%), funded from cash (20.0% → 19.5%).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i w:val="0"/>
          <w:color w:val="1F3864"/>
          <w:sz w:val="22"/>
        </w:rPr>
        <w:t>ENERGY TRIGGER:</w:t>
      </w:r>
      <w:r>
        <w:rPr>
          <w:rFonts w:ascii="Calibri" w:hAnsi="Calibri" w:eastAsia="Calibri" w:cs="Calibri"/>
          <w:b w:val="0"/>
          <w:i w:val="0"/>
          <w:sz w:val="22"/>
        </w:rPr>
        <w:t xml:space="preserve"> If WTI closes below $90, trim XOM 2.5%→2.0% and EOG 2.0%→1.5%, CASH +1.0% (20.0% → 21.0%).</w:t>
      </w:r>
    </w:p>
    <w:p>
      <w:pPr>
        <w:shd w:val="clear" w:color="auto" w:fill="1F3864"/>
        <w:spacing w:before="120" w:after="120"/>
        <w:ind w:left="120"/>
      </w:pPr>
      <w:r>
        <w:rPr>
          <w:rFonts w:ascii="Calibri" w:hAnsi="Calibri" w:eastAsia="Calibri" w:cs="Calibri"/>
          <w:b/>
          <w:i w:val="0"/>
          <w:color w:val="FFFFFF"/>
          <w:sz w:val="26"/>
        </w:rPr>
        <w:t>8.  FULL PORTFOLIO TABLE — Current Weights (Verified 100.0%)</w:t>
      </w:r>
    </w:p>
    <w:p>
      <w:pPr>
        <w:pBdr>
          <w:bottom w:val="single" w:sz="6" w:space="1" w:color="C9A227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3600"/>
        <w:gridCol w:w="3600"/>
      </w:tblGrid>
      <w:tr>
        <w:tc>
          <w:tcPr>
            <w:tcW w:type="dxa" w:w="216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Ticker</w:t>
            </w:r>
          </w:p>
        </w:tc>
        <w:tc>
          <w:tcPr>
            <w:tcW w:type="dxa" w:w="36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Sector</w:t>
            </w:r>
          </w:p>
        </w:tc>
        <w:tc>
          <w:tcPr>
            <w:tcW w:type="dxa" w:w="3600"/>
            <w:shd w:val="clear" w:color="auto" w:fill="1F3864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/>
                <w:i w:val="0"/>
                <w:color w:val="FFFFFF"/>
                <w:sz w:val="22"/>
              </w:rPr>
              <w:t>Weight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NVDA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Technology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6.5%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AMZN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Technology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5.5%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META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Comm Services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4.5%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JPM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Financials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4.5%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LLY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Healthcare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4.0%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AVGO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Technology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4.0%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MSFT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Technology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4.0%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PANW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Technology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4.0%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QQQ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ETF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3.5%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GOOGL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Comm Services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3.0%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PLTR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Technology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3.0%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UNH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Healthcare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3.0%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V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Financials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3.0%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ORCL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Technology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3.0%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TSM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Technology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3.0%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XOM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Energy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2.5%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VUG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ETF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2.5%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SCHD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ETF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2.5%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MU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Technology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2.5%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COST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Consumer Stpl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2.5%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DASH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Consumer Disc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2.0%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NEE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Utilities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2.0%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EOG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Energy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2.0%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ABBV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Healthcare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1.5%</w:t>
            </w:r>
          </w:p>
        </w:tc>
      </w:tr>
      <w:tr>
        <w:tc>
          <w:tcPr>
            <w:tcW w:type="dxa" w:w="216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NFLX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Comm Services</w:t>
            </w:r>
          </w:p>
        </w:tc>
        <w:tc>
          <w:tcPr>
            <w:tcW w:type="dxa" w:w="360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1.5%</w:t>
            </w:r>
          </w:p>
        </w:tc>
      </w:tr>
      <w:tr>
        <w:tc>
          <w:tcPr>
            <w:tcW w:type="dxa" w:w="216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CASH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Cash</w:t>
            </w:r>
          </w:p>
        </w:tc>
        <w:tc>
          <w:tcPr>
            <w:tcW w:type="dxa" w:w="3600"/>
            <w:shd w:val="clear" w:color="auto" w:fill="F2F2F2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20.0%</w:t>
            </w:r>
          </w:p>
        </w:tc>
      </w:tr>
      <w:tr>
        <w:tc>
          <w:tcPr>
            <w:tcW w:type="dxa" w:w="2160"/>
            <w:shd w:val="clear" w:color="auto" w:fill="D5E8F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TOTAL</w:t>
            </w:r>
          </w:p>
        </w:tc>
        <w:tc>
          <w:tcPr>
            <w:tcW w:type="dxa" w:w="3600"/>
            <w:shd w:val="clear" w:color="auto" w:fill="D5E8F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3600"/>
            <w:shd w:val="clear" w:color="auto" w:fill="D5E8F0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100.0%</w:t>
            </w:r>
          </w:p>
        </w:tc>
      </w:tr>
    </w:tbl>
    <w:p>
      <w:pPr>
        <w:shd w:val="clear" w:color="auto" w:fill="1F3864"/>
        <w:spacing w:before="120" w:after="120"/>
        <w:ind w:left="120"/>
      </w:pPr>
      <w:r>
        <w:rPr>
          <w:rFonts w:ascii="Calibri" w:hAnsi="Calibri" w:eastAsia="Calibri" w:cs="Calibri"/>
          <w:b/>
          <w:i w:val="0"/>
          <w:color w:val="FFFFFF"/>
          <w:sz w:val="26"/>
        </w:rPr>
        <w:t>9.  SOURCES</w:t>
      </w:r>
    </w:p>
    <w:p>
      <w:pPr>
        <w:pBdr>
          <w:bottom w:val="single" w:sz="6" w:space="1" w:color="C9A227"/>
        </w:pBdr>
      </w:pPr>
      <w:r/>
    </w:p>
    <w:p>
      <w:pPr>
        <w:pStyle w:val="ListBullet"/>
        <w:spacing w:after="60"/>
      </w:pPr>
      <w:r>
        <w:rPr>
          <w:rFonts w:ascii="Calibri" w:hAnsi="Calibri" w:eastAsia="Calibri" w:cs="Calibri"/>
          <w:b/>
          <w:i w:val="0"/>
          <w:color w:val="1F3864"/>
          <w:sz w:val="22"/>
        </w:rPr>
        <w:t>Portfolio tracker:</w:t>
      </w:r>
      <w:r>
        <w:rPr>
          <w:rFonts w:ascii="Calibri" w:hAnsi="Calibri" w:eastAsia="Calibri" w:cs="Calibri"/>
          <w:b w:val="0"/>
          <w:i w:val="0"/>
          <w:sz w:val="22"/>
        </w:rPr>
        <w:t xml:space="preserve"> WM_Growth_Portfolio_Apr2026.xlsx — live tracker (verified weights, 100.0%)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i w:val="0"/>
          <w:color w:val="1F3864"/>
          <w:sz w:val="22"/>
        </w:rPr>
        <w:t>Performance file:</w:t>
      </w:r>
      <w:r>
        <w:rPr>
          <w:rFonts w:ascii="Calibri" w:hAnsi="Calibri" w:eastAsia="Calibri" w:cs="Calibri"/>
          <w:b w:val="0"/>
          <w:i w:val="0"/>
          <w:sz w:val="22"/>
        </w:rPr>
        <w:t xml:space="preserve"> Portfolio_Performance_Apr16_2026.xlsx — 5-sheet TWR performance workbook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i w:val="0"/>
          <w:color w:val="1F3864"/>
          <w:sz w:val="22"/>
        </w:rPr>
        <w:t>Performance report:</w:t>
      </w:r>
      <w:r>
        <w:rPr>
          <w:rFonts w:ascii="Calibri" w:hAnsi="Calibri" w:eastAsia="Calibri" w:cs="Calibri"/>
          <w:b w:val="0"/>
          <w:i w:val="0"/>
          <w:sz w:val="22"/>
        </w:rPr>
        <w:t xml:space="preserve"> Portfolio_Performance_Report_Apr16_2026.docx — 9-section institutional report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i w:val="0"/>
          <w:color w:val="1F3864"/>
          <w:sz w:val="22"/>
        </w:rPr>
        <w:t>Prior report:</w:t>
      </w:r>
      <w:r>
        <w:rPr>
          <w:rFonts w:ascii="Calibri" w:hAnsi="Calibri" w:eastAsia="Calibri" w:cs="Calibri"/>
          <w:b w:val="0"/>
          <w:i w:val="0"/>
          <w:sz w:val="22"/>
        </w:rPr>
        <w:t xml:space="preserve"> DailyReport_2026-04-16.docx — yesterday's TSMC Q1 deep-dive report</w:t>
      </w:r>
    </w:p>
    <w:p>
      <w:pPr>
        <w:pStyle w:val="ListBullet"/>
        <w:spacing w:after="60"/>
      </w:pPr>
      <w:r>
        <w:rPr>
          <w:rFonts w:ascii="Calibri" w:hAnsi="Calibri" w:eastAsia="Calibri" w:cs="Calibri"/>
          <w:b/>
          <w:i w:val="0"/>
          <w:color w:val="1F3864"/>
          <w:sz w:val="22"/>
        </w:rPr>
        <w:t>Intraday watch:</w:t>
      </w:r>
      <w:r>
        <w:rPr>
          <w:rFonts w:ascii="Calibri" w:hAnsi="Calibri" w:eastAsia="Calibri" w:cs="Calibri"/>
          <w:b w:val="0"/>
          <w:i w:val="0"/>
          <w:sz w:val="22"/>
        </w:rPr>
        <w:t xml:space="preserve"> Fed speaker schedule — Daly 10:00 AM ET, Waller 2:30 PM ET</w:t>
      </w:r>
    </w:p>
    <w:p>
      <w:pPr>
        <w:pBdr>
          <w:bottom w:val="single" w:sz="6" w:space="1" w:color="C9A227"/>
        </w:pBdr>
      </w:pPr>
      <w:r/>
    </w:p>
    <w:p>
      <w:pPr>
        <w:spacing w:before="160"/>
        <w:jc w:val="center"/>
      </w:pPr>
      <w:r>
        <w:rPr>
          <w:rFonts w:ascii="Calibri" w:hAnsi="Calibri" w:eastAsia="Calibri" w:cs="Calibri"/>
          <w:b w:val="0"/>
          <w:i/>
          <w:color w:val="595959"/>
          <w:sz w:val="18"/>
        </w:rPr>
        <w:t>WM Growth Portfolio  |  Active Wealth Management  |  Daily Report generated April 17, 2026</w:t>
      </w:r>
    </w:p>
    <w:p>
      <w:pPr>
        <w:jc w:val="center"/>
      </w:pPr>
      <w:r>
        <w:rPr>
          <w:rFonts w:ascii="Calibri" w:hAnsi="Calibri" w:eastAsia="Calibri" w:cs="Calibri"/>
          <w:b w:val="0"/>
          <w:i/>
          <w:color w:val="595959"/>
          <w:sz w:val="16"/>
        </w:rPr>
        <w:t>DISCLAIMER: Pre-market data is indicative only. All recommendations are conditional on disclosed triggers. Past performance does not guarantee future results.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