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1A1A1A"/>
          <w:sz w:val="26"/>
          <w:spacing w:val="40"/>
        </w:rPr>
        <w:t>DAILY PRE-MARKET</w:t>
      </w:r>
    </w:p>
    <w:p>
      <w:pPr>
        <w:spacing w:after="0"/>
      </w:pPr>
      <w:r>
        <w:rPr>
          <w:rFonts w:ascii="Calibri" w:hAnsi="Calibri"/>
          <w:b w:val="0"/>
          <w:i w:val="0"/>
          <w:color w:val="555555"/>
          <w:sz w:val="20"/>
        </w:rPr>
        <w:t>WM Growth Portfolio  |  Tuesday, April 22, 2026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7"/>
        </w:rPr>
        <w:t>Report v2.0  |  IPS v1.0  |  Prepared early on Apr 21 (no separate Apr 22 run)</w:t>
      </w:r>
    </w:p>
    <w:p>
      <w:pPr>
        <w:pBdr>
          <w:bottom w:val="single" w:sz="6" w:space="1" w:color="9A9A9A"/>
        </w:pBdr>
        <w:spacing w:before="40" w:after="40"/>
      </w:pPr>
    </w:p>
    <w:p>
      <w:pPr>
        <w:spacing w:before="200" w:after="40"/>
      </w:pPr>
      <w:r>
        <w:rPr>
          <w:rFonts w:ascii="Calibri" w:hAnsi="Calibri"/>
          <w:b/>
          <w:i w:val="0"/>
          <w:color w:val="1A1A1A"/>
          <w:sz w:val="24"/>
          <w:spacing w:val="20"/>
        </w:rPr>
        <w:t>1. MONDAY RECAP &amp; STATE (APR 21)</w:t>
      </w:r>
    </w:p>
    <w:p>
      <w:pPr>
        <w:pBdr>
          <w:bottom w:val="single" w:sz="6" w:space="1" w:color="9A9A9A"/>
        </w:pBdr>
        <w:spacing w:before="40" w:after="40"/>
      </w:pP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ASSUMED: UNH beat Q1 with MA guidance neutral-or-better; Monday add executed per plan (UNH 3.0 → 3.5%, cash 20.0 → 19.5%). All CALIBRATED pending confirmation of Apr 21 close and actual fill. If UNH missed, Monday action should have been hold — flag and correct before open.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1584"/>
        <w:gridCol w:w="1440"/>
        <w:gridCol w:w="4032"/>
      </w:tblGrid>
      <w:tr>
        <w:tc>
          <w:tcPr>
            <w:tcW w:type="dxa" w:w="3744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Sleeve</w:t>
            </w:r>
          </w:p>
        </w:tc>
        <w:tc>
          <w:tcPr>
            <w:tcW w:type="dxa" w:w="1584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Weight</w:t>
            </w:r>
          </w:p>
        </w:tc>
        <w:tc>
          <w:tcPr>
            <w:tcW w:type="dxa" w:w="1440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Δ</w:t>
            </w:r>
          </w:p>
        </w:tc>
        <w:tc>
          <w:tcPr>
            <w:tcW w:type="dxa" w:w="4032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IPS Check</w:t>
            </w:r>
          </w:p>
        </w:tc>
      </w:tr>
      <w:tr>
        <w:tc>
          <w:tcPr>
            <w:tcW w:type="dxa" w:w="374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UNH</w:t>
            </w:r>
          </w:p>
        </w:tc>
        <w:tc>
          <w:tcPr>
            <w:tcW w:type="dxa" w:w="158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3.5%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+0.5%</w:t>
            </w:r>
          </w:p>
        </w:tc>
        <w:tc>
          <w:tcPr>
            <w:tcW w:type="dxa" w:w="4032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≤ 7% OK</w:t>
            </w:r>
          </w:p>
        </w:tc>
      </w:tr>
      <w:tr>
        <w:tc>
          <w:tcPr>
            <w:tcW w:type="dxa" w:w="3744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Healthcare sector</w:t>
            </w:r>
          </w:p>
        </w:tc>
        <w:tc>
          <w:tcPr>
            <w:tcW w:type="dxa" w:w="1584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9.0%</w:t>
            </w:r>
          </w:p>
        </w:tc>
        <w:tc>
          <w:tcPr>
            <w:tcW w:type="dxa" w:w="1440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+0.5%</w:t>
            </w:r>
          </w:p>
        </w:tc>
        <w:tc>
          <w:tcPr>
            <w:tcW w:type="dxa" w:w="4032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≤ 35% OK</w:t>
            </w:r>
          </w:p>
        </w:tc>
      </w:tr>
      <w:tr>
        <w:tc>
          <w:tcPr>
            <w:tcW w:type="dxa" w:w="3744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Cash</w:t>
            </w:r>
          </w:p>
        </w:tc>
        <w:tc>
          <w:tcPr>
            <w:tcW w:type="dxa" w:w="1584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19.5%</w:t>
            </w:r>
          </w:p>
        </w:tc>
        <w:tc>
          <w:tcPr>
            <w:tcW w:type="dxa" w:w="1440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−0.5%</w:t>
            </w:r>
          </w:p>
        </w:tc>
        <w:tc>
          <w:tcPr>
            <w:tcW w:type="dxa" w:w="4032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10–20% band OK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1A1A1A"/>
          <w:sz w:val="24"/>
          <w:spacing w:val="20"/>
        </w:rPr>
        <w:t>2. MARKET SNAPSHOT</w:t>
      </w:r>
    </w:p>
    <w:p>
      <w:pPr>
        <w:pBdr>
          <w:bottom w:val="single" w:sz="6" w:space="1" w:color="9A9A9A"/>
        </w:pBdr>
        <w:spacing w:before="4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1584"/>
        <w:gridCol w:w="3456"/>
      </w:tblGrid>
      <w:tr>
        <w:tc>
          <w:tcPr>
            <w:tcW w:type="dxa" w:w="3168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Tape</w:t>
            </w:r>
          </w:p>
        </w:tc>
        <w:tc>
          <w:tcPr>
            <w:tcW w:type="dxa" w:w="2304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Level / Move</w:t>
            </w:r>
          </w:p>
        </w:tc>
        <w:tc>
          <w:tcPr>
            <w:tcW w:type="dxa" w:w="1584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Vs. 5d</w:t>
            </w:r>
          </w:p>
        </w:tc>
        <w:tc>
          <w:tcPr>
            <w:tcW w:type="dxa" w:w="3456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Tag</w:t>
            </w:r>
          </w:p>
        </w:tc>
      </w:tr>
      <w:tr>
        <w:tc>
          <w:tcPr>
            <w:tcW w:type="dxa" w:w="3168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S&amp;P 500 futures</w:t>
            </w:r>
          </w:p>
        </w:tc>
        <w:tc>
          <w:tcPr>
            <w:tcW w:type="dxa" w:w="230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~7,045</w:t>
            </w:r>
          </w:p>
        </w:tc>
        <w:tc>
          <w:tcPr>
            <w:tcW w:type="dxa" w:w="158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+1.3%</w:t>
            </w:r>
          </w:p>
        </w:tc>
        <w:tc>
          <w:tcPr>
            <w:tcW w:type="dxa" w:w="345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CALIBRATED</w:t>
            </w:r>
          </w:p>
        </w:tc>
      </w:tr>
      <w:tr>
        <w:tc>
          <w:tcPr>
            <w:tcW w:type="dxa" w:w="3168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VIX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17.4</w:t>
            </w:r>
          </w:p>
        </w:tc>
        <w:tc>
          <w:tcPr>
            <w:tcW w:type="dxa" w:w="1584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−1.2</w:t>
            </w:r>
          </w:p>
        </w:tc>
        <w:tc>
          <w:tcPr>
            <w:tcW w:type="dxa" w:w="3456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CALIBRATED</w:t>
            </w:r>
          </w:p>
        </w:tc>
      </w:tr>
      <w:tr>
        <w:tc>
          <w:tcPr>
            <w:tcW w:type="dxa" w:w="3168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WTI crude</w:t>
            </w:r>
          </w:p>
        </w:tc>
        <w:tc>
          <w:tcPr>
            <w:tcW w:type="dxa" w:w="230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$90.2</w:t>
            </w:r>
          </w:p>
        </w:tc>
        <w:tc>
          <w:tcPr>
            <w:tcW w:type="dxa" w:w="158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−4.0%</w:t>
            </w:r>
          </w:p>
        </w:tc>
        <w:tc>
          <w:tcPr>
            <w:tcW w:type="dxa" w:w="345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CALIBRATED</w:t>
            </w:r>
          </w:p>
        </w:tc>
      </w:tr>
      <w:tr>
        <w:tc>
          <w:tcPr>
            <w:tcW w:type="dxa" w:w="3168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US 10yr yield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4.20%</w:t>
            </w:r>
          </w:p>
        </w:tc>
        <w:tc>
          <w:tcPr>
            <w:tcW w:type="dxa" w:w="1584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−6 bps</w:t>
            </w:r>
          </w:p>
        </w:tc>
        <w:tc>
          <w:tcPr>
            <w:tcW w:type="dxa" w:w="3456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CALIBRATED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1A1A1A"/>
          <w:sz w:val="24"/>
          <w:spacing w:val="20"/>
        </w:rPr>
        <w:t>3. ACTIVE TRIGGERS</w:t>
      </w:r>
    </w:p>
    <w:p>
      <w:pPr>
        <w:pBdr>
          <w:bottom w:val="single" w:sz="6" w:space="1" w:color="9A9A9A"/>
        </w:pBdr>
        <w:spacing w:before="4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3312"/>
        <w:gridCol w:w="1296"/>
        <w:gridCol w:w="1152"/>
      </w:tblGrid>
      <w:tr>
        <w:tc>
          <w:tcPr>
            <w:tcW w:type="dxa" w:w="1008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Instrument</w:t>
            </w:r>
          </w:p>
        </w:tc>
        <w:tc>
          <w:tcPr>
            <w:tcW w:type="dxa" w:w="3744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Condition</w:t>
            </w:r>
          </w:p>
        </w:tc>
        <w:tc>
          <w:tcPr>
            <w:tcW w:type="dxa" w:w="3312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Action</w:t>
            </w:r>
          </w:p>
        </w:tc>
        <w:tc>
          <w:tcPr>
            <w:tcW w:type="dxa" w:w="1296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Size</w:t>
            </w:r>
          </w:p>
        </w:tc>
        <w:tc>
          <w:tcPr>
            <w:tcW w:type="dxa" w:w="1152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Conf.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WTI</w:t>
            </w:r>
          </w:p>
        </w:tc>
        <w:tc>
          <w:tcPr>
            <w:tcW w:type="dxa" w:w="374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Sustained close &lt; $90 (within $0.20 today)</w:t>
            </w:r>
          </w:p>
        </w:tc>
        <w:tc>
          <w:tcPr>
            <w:tcW w:type="dxa" w:w="3312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Trim XOM 2.5→2.0, EOG 2.0→1.5</w:t>
            </w:r>
          </w:p>
        </w:tc>
        <w:tc>
          <w:tcPr>
            <w:tcW w:type="dxa" w:w="129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−1.0%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MED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LLY</w:t>
            </w:r>
          </w:p>
        </w:tc>
        <w:tc>
          <w:tcPr>
            <w:tcW w:type="dxa" w:w="3744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Sustained close &lt; $920</w:t>
            </w:r>
          </w:p>
        </w:tc>
        <w:tc>
          <w:tcPr>
            <w:tcW w:type="dxa" w:w="3312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Add 4.0 → 4.5%</w:t>
            </w:r>
          </w:p>
        </w:tc>
        <w:tc>
          <w:tcPr>
            <w:tcW w:type="dxa" w:w="1296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+0.5%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MED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INTC</w:t>
            </w:r>
          </w:p>
        </w:tc>
        <w:tc>
          <w:tcPr>
            <w:tcW w:type="dxa" w:w="374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Wed AMC beat + 18A yield ≥ 60%</w:t>
            </w:r>
          </w:p>
        </w:tc>
        <w:tc>
          <w:tcPr>
            <w:tcW w:type="dxa" w:w="3312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Enter starter Thursday open</w:t>
            </w:r>
          </w:p>
        </w:tc>
        <w:tc>
          <w:tcPr>
            <w:tcW w:type="dxa" w:w="129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+1.0–1.5%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LOW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Port</w:t>
            </w:r>
          </w:p>
        </w:tc>
        <w:tc>
          <w:tcPr>
            <w:tcW w:type="dxa" w:w="3744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Drawdown WTD ≥ –3% OR retroactive UNH miss</w:t>
            </w:r>
          </w:p>
        </w:tc>
        <w:tc>
          <w:tcPr>
            <w:tcW w:type="dxa" w:w="3312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De-risk / reverse Monday add</w:t>
            </w:r>
          </w:p>
        </w:tc>
        <w:tc>
          <w:tcPr>
            <w:tcW w:type="dxa" w:w="1296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varies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HIGH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1A1A1A"/>
          <w:sz w:val="24"/>
          <w:spacing w:val="20"/>
        </w:rPr>
        <w:t>4. CALENDAR (NEXT 4 SESSIONS)</w:t>
      </w:r>
    </w:p>
    <w:p>
      <w:pPr>
        <w:pBdr>
          <w:bottom w:val="single" w:sz="6" w:space="1" w:color="9A9A9A"/>
        </w:pBdr>
        <w:spacing w:before="4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464"/>
      </w:tblGrid>
      <w:tr>
        <w:tc>
          <w:tcPr>
            <w:tcW w:type="dxa" w:w="1728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Date</w:t>
            </w:r>
          </w:p>
        </w:tc>
        <w:tc>
          <w:tcPr>
            <w:tcW w:type="dxa" w:w="4320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Event</w:t>
            </w:r>
          </w:p>
        </w:tc>
        <w:tc>
          <w:tcPr>
            <w:tcW w:type="dxa" w:w="4464"/>
            <w:shd w:val="clear" w:color="auto" w:fill="ECECEC"/>
            <w:tcBorders>
              <w:top w:val="single" w:sz="6" w:space="0" w:color="9A9A9A"/>
              <w:bottom w:val="single" w:sz="6" w:space="0" w:color="9A9A9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Relevance</w:t>
            </w:r>
          </w:p>
        </w:tc>
      </w:tr>
      <w:tr>
        <w:tc>
          <w:tcPr>
            <w:tcW w:type="dxa" w:w="1728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Tue Apr 22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GS / MS / PNC earnings (pre-open)</w:t>
            </w:r>
          </w:p>
        </w:tc>
        <w:tc>
          <w:tcPr>
            <w:tcW w:type="dxa" w:w="446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Read-through for JPM 4.5%</w:t>
            </w:r>
          </w:p>
        </w:tc>
      </w:tr>
      <w:tr>
        <w:tc>
          <w:tcPr>
            <w:tcW w:type="dxa" w:w="1728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Wed Apr 23</w:t>
            </w:r>
          </w:p>
        </w:tc>
        <w:tc>
          <w:tcPr>
            <w:tcW w:type="dxa" w:w="4320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INTC Q1 earnings (AMC); Fed Beige Book</w:t>
            </w:r>
          </w:p>
        </w:tc>
        <w:tc>
          <w:tcPr>
            <w:tcW w:type="dxa" w:w="4464"/>
            <w:shd w:val="clear" w:color="auto" w:fill="F6F6F6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INTC entry trigger; macro read</w:t>
            </w:r>
          </w:p>
        </w:tc>
      </w:tr>
      <w:tr>
        <w:tc>
          <w:tcPr>
            <w:tcW w:type="dxa" w:w="1728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Thu Apr 24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Weekly performance report (2-page v2)</w:t>
            </w:r>
          </w:p>
        </w:tc>
        <w:tc>
          <w:tcPr>
            <w:tcW w:type="dxa" w:w="4464"/>
            <w:tcBorders>
              <w:top w:val="nil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Internal</w:t>
            </w:r>
          </w:p>
        </w:tc>
      </w:tr>
      <w:tr>
        <w:tc>
          <w:tcPr>
            <w:tcW w:type="dxa" w:w="1728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Fri Apr 25</w:t>
            </w:r>
          </w:p>
        </w:tc>
        <w:tc>
          <w:tcPr>
            <w:tcW w:type="dxa" w:w="4320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Michigan sentiment final</w:t>
            </w:r>
          </w:p>
        </w:tc>
        <w:tc>
          <w:tcPr>
            <w:tcW w:type="dxa" w:w="4464"/>
            <w:shd w:val="clear" w:color="auto" w:fill="F6F6F6"/>
            <w:tcBorders>
              <w:top w:val="nil"/>
              <w:bottom w:val="single" w:sz="4" w:space="0" w:color="CFCFCF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Tape-level only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1A1A1A"/>
          <w:sz w:val="24"/>
          <w:spacing w:val="20"/>
        </w:rPr>
        <w:t>5. TODAY — WATCH ONLY</w:t>
      </w:r>
    </w:p>
    <w:p>
      <w:pPr>
        <w:pBdr>
          <w:bottom w:val="single" w:sz="6" w:space="1" w:color="9A9A9A"/>
        </w:pBdr>
        <w:spacing w:before="40" w:after="40"/>
      </w:pP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18"/>
        </w:rPr>
        <w:t>No new initiation. Two things to watch: (a) GS/MS/PNC earnings as read-through for JPM 4.5% — clean credit leaves thesis intact, material credit miss flags JPM for weekly review; (b) WTI for a sustained close below $90 triggering the pre-set energy trim. Pre-mortem standing from Monday: UNH add is wrong if the beat was one-time reserve release rather than organic MA membership — re-verify against Q1 10-Q.</w:t>
      </w:r>
    </w:p>
    <w:p>
      <w:pPr>
        <w:spacing w:before="80" w:after="0"/>
      </w:pPr>
      <w:r>
        <w:rPr>
          <w:rFonts w:ascii="Calibri" w:hAnsi="Calibri"/>
          <w:b w:val="0"/>
          <w:i/>
          <w:color w:val="555555"/>
          <w:sz w:val="16"/>
        </w:rPr>
        <w:t>Tape + Monday CALIBRATED; confirm Apr 21 close before treating state as true. Triggers require observed levels. Per IPS §5.</w:t>
      </w:r>
    </w:p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