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i w:val="0"/>
          <w:color w:val="1A1A1A"/>
          <w:sz w:val="28"/>
          <w:spacing w:val="40"/>
        </w:rPr>
        <w:t>INVESTMENT POLICY STATEMENT</w:t>
      </w:r>
    </w:p>
    <w:p>
      <w:pPr>
        <w:spacing w:after="0"/>
      </w:pPr>
      <w:r>
        <w:rPr>
          <w:rFonts w:ascii="Calibri" w:hAnsi="Calibri"/>
          <w:b w:val="0"/>
          <w:i w:val="0"/>
          <w:color w:val="555555"/>
          <w:sz w:val="22"/>
        </w:rPr>
        <w:t>WM Growth Portfolio</w:t>
      </w:r>
    </w:p>
    <w:p>
      <w:pPr>
        <w:spacing w:after="120"/>
      </w:pPr>
      <w:r>
        <w:rPr>
          <w:rFonts w:ascii="Calibri" w:hAnsi="Calibri"/>
          <w:b w:val="0"/>
          <w:i/>
          <w:color w:val="555555"/>
          <w:sz w:val="18"/>
        </w:rPr>
        <w:t>Version 1.0   |   Effective April 21, 2026   |   Next review: July 21, 2026</w:t>
      </w:r>
    </w:p>
    <w:p>
      <w:pPr>
        <w:pBdr>
          <w:bottom w:val="single" w:sz="8" w:space="1" w:color="9A9A9A"/>
        </w:pBdr>
        <w:spacing w:before="40" w:after="40"/>
      </w:pPr>
    </w:p>
    <w:p>
      <w:pPr>
        <w:spacing w:before="200" w:after="40"/>
      </w:pPr>
      <w:r>
        <w:rPr>
          <w:rFonts w:ascii="Calibri" w:hAnsi="Calibri"/>
          <w:b/>
          <w:i w:val="0"/>
          <w:color w:val="1A1A1A"/>
          <w:sz w:val="24"/>
          <w:spacing w:val="20"/>
        </w:rPr>
        <w:t>1. PURPOSE</w:t>
      </w:r>
    </w:p>
    <w:p>
      <w:pPr>
        <w:pBdr>
          <w:bottom w:val="single" w:sz="6" w:space="1" w:color="9A9A9A"/>
        </w:pBdr>
        <w:spacing w:before="40" w:after="40"/>
      </w:pPr>
    </w:p>
    <w:p>
      <w:pPr>
        <w:spacing w:after="80"/>
      </w:pPr>
      <w:r>
        <w:rPr>
          <w:rFonts w:ascii="Calibri" w:hAnsi="Calibri"/>
          <w:b w:val="0"/>
          <w:i w:val="0"/>
          <w:color w:val="1A1A1A"/>
          <w:sz w:val="20"/>
        </w:rPr>
        <w:t>This document defines the objectives, constraints, and governance rules for the WM Growth Portfolio. All trades, rebalances, and report conclusions must be consistent with the policies below. Exceptions require a written deviation note (reason, size, duration) appended to the Daily Report Log.</w:t>
      </w:r>
    </w:p>
    <w:p>
      <w:pPr>
        <w:spacing w:before="200" w:after="40"/>
      </w:pPr>
      <w:r>
        <w:rPr>
          <w:rFonts w:ascii="Calibri" w:hAnsi="Calibri"/>
          <w:b/>
          <w:i w:val="0"/>
          <w:color w:val="1A1A1A"/>
          <w:sz w:val="24"/>
          <w:spacing w:val="20"/>
        </w:rPr>
        <w:t>2. OBJECTIVES</w:t>
      </w:r>
    </w:p>
    <w:p>
      <w:pPr>
        <w:pBdr>
          <w:bottom w:val="single" w:sz="6" w:space="1" w:color="9A9A9A"/>
        </w:pBdr>
        <w:spacing w:before="40" w:after="40"/>
      </w:pPr>
    </w:p>
    <w:tbl>
      <w:tblPr>
        <w:tblW w:type="auto" w:w="0"/>
        <w:tblLayout w:type="fixed"/>
        <w:tblLook w:firstColumn="1" w:firstRow="1" w:lastColumn="0" w:lastRow="0" w:noHBand="0" w:noVBand="1" w:val="04A0"/>
      </w:tblPr>
      <w:tblGrid>
        <w:gridCol w:w="2880"/>
        <w:gridCol w:w="6480"/>
      </w:tblGrid>
      <w:tr>
        <w:tc>
          <w:tcPr>
            <w:tcW w:type="dxa" w:w="2880"/>
            <w:tcBorders>
              <w:top w:val="nil"/>
              <w:bottom w:val="nil"/>
              <w:left w:val="nil"/>
              <w:right w:val="nil"/>
            </w:tcBorders>
            <w:tcMar>
              <w:top w:w="20" w:type="dxa"/>
              <w:bottom w:w="20" w:type="dxa"/>
              <w:left w:w="0" w:type="dxa"/>
              <w:right w:w="60" w:type="dxa"/>
            </w:tcMar>
            <w:vAlign w:val="top"/>
          </w:tcPr>
          <w:p>
            <w:pPr>
              <w:spacing w:after="0"/>
            </w:pPr>
            <w:r>
              <w:rPr>
                <w:rFonts w:ascii="Calibri" w:hAnsi="Calibri"/>
                <w:b w:val="0"/>
                <w:i w:val="0"/>
                <w:color w:val="555555"/>
                <w:sz w:val="20"/>
              </w:rPr>
              <w:t>Mandate</w:t>
            </w:r>
          </w:p>
        </w:tc>
        <w:tc>
          <w:tcPr>
            <w:tcW w:type="dxa" w:w="6480"/>
            <w:tcBorders>
              <w:top w:val="nil"/>
              <w:bottom w:val="nil"/>
              <w:left w:val="nil"/>
              <w:right w:val="nil"/>
            </w:tcBorders>
            <w:tcMar>
              <w:top w:w="20" w:type="dxa"/>
              <w:bottom w:w="20" w:type="dxa"/>
              <w:left w:w="0" w:type="dxa"/>
              <w:right w:w="60" w:type="dxa"/>
            </w:tcMar>
            <w:vAlign w:val="top"/>
          </w:tcPr>
          <w:p>
            <w:pPr>
              <w:spacing w:after="0"/>
            </w:pPr>
            <w:r>
              <w:rPr>
                <w:rFonts w:ascii="Consolas" w:hAnsi="Consolas"/>
                <w:b w:val="0"/>
                <w:i w:val="0"/>
                <w:color w:val="1A1A1A"/>
                <w:sz w:val="20"/>
              </w:rPr>
              <w:t>Long-only U.S. large-cap growth with tactical tilts</w:t>
            </w:r>
          </w:p>
        </w:tc>
      </w:tr>
    </w:tbl>
    <w:tbl>
      <w:tblPr>
        <w:tblW w:type="auto" w:w="0"/>
        <w:tblLayout w:type="fixed"/>
        <w:tblLook w:firstColumn="1" w:firstRow="1" w:lastColumn="0" w:lastRow="0" w:noHBand="0" w:noVBand="1" w:val="04A0"/>
      </w:tblPr>
      <w:tblGrid>
        <w:gridCol w:w="2880"/>
        <w:gridCol w:w="6480"/>
      </w:tblGrid>
      <w:tr>
        <w:tc>
          <w:tcPr>
            <w:tcW w:type="dxa" w:w="2880"/>
            <w:tcBorders>
              <w:top w:val="nil"/>
              <w:bottom w:val="nil"/>
              <w:left w:val="nil"/>
              <w:right w:val="nil"/>
            </w:tcBorders>
            <w:tcMar>
              <w:top w:w="20" w:type="dxa"/>
              <w:bottom w:w="20" w:type="dxa"/>
              <w:left w:w="0" w:type="dxa"/>
              <w:right w:w="60" w:type="dxa"/>
            </w:tcMar>
            <w:vAlign w:val="top"/>
          </w:tcPr>
          <w:p>
            <w:pPr>
              <w:spacing w:after="0"/>
            </w:pPr>
            <w:r>
              <w:rPr>
                <w:rFonts w:ascii="Calibri" w:hAnsi="Calibri"/>
                <w:b w:val="0"/>
                <w:i w:val="0"/>
                <w:color w:val="555555"/>
                <w:sz w:val="20"/>
              </w:rPr>
              <w:t>Benchmark</w:t>
            </w:r>
          </w:p>
        </w:tc>
        <w:tc>
          <w:tcPr>
            <w:tcW w:type="dxa" w:w="6480"/>
            <w:tcBorders>
              <w:top w:val="nil"/>
              <w:bottom w:val="nil"/>
              <w:left w:val="nil"/>
              <w:right w:val="nil"/>
            </w:tcBorders>
            <w:tcMar>
              <w:top w:w="20" w:type="dxa"/>
              <w:bottom w:w="20" w:type="dxa"/>
              <w:left w:w="0" w:type="dxa"/>
              <w:right w:w="60" w:type="dxa"/>
            </w:tcMar>
            <w:vAlign w:val="top"/>
          </w:tcPr>
          <w:p>
            <w:pPr>
              <w:spacing w:after="0"/>
            </w:pPr>
            <w:r>
              <w:rPr>
                <w:rFonts w:ascii="Consolas" w:hAnsi="Consolas"/>
                <w:b w:val="0"/>
                <w:i w:val="0"/>
                <w:color w:val="1A1A1A"/>
                <w:sz w:val="20"/>
              </w:rPr>
              <w:t>S&amp;P 500 Total Return (SPX)</w:t>
            </w:r>
          </w:p>
        </w:tc>
      </w:tr>
    </w:tbl>
    <w:tbl>
      <w:tblPr>
        <w:tblW w:type="auto" w:w="0"/>
        <w:tblLayout w:type="fixed"/>
        <w:tblLook w:firstColumn="1" w:firstRow="1" w:lastColumn="0" w:lastRow="0" w:noHBand="0" w:noVBand="1" w:val="04A0"/>
      </w:tblPr>
      <w:tblGrid>
        <w:gridCol w:w="2880"/>
        <w:gridCol w:w="6480"/>
      </w:tblGrid>
      <w:tr>
        <w:tc>
          <w:tcPr>
            <w:tcW w:type="dxa" w:w="2880"/>
            <w:tcBorders>
              <w:top w:val="nil"/>
              <w:bottom w:val="nil"/>
              <w:left w:val="nil"/>
              <w:right w:val="nil"/>
            </w:tcBorders>
            <w:tcMar>
              <w:top w:w="20" w:type="dxa"/>
              <w:bottom w:w="20" w:type="dxa"/>
              <w:left w:w="0" w:type="dxa"/>
              <w:right w:w="60" w:type="dxa"/>
            </w:tcMar>
            <w:vAlign w:val="top"/>
          </w:tcPr>
          <w:p>
            <w:pPr>
              <w:spacing w:after="0"/>
            </w:pPr>
            <w:r>
              <w:rPr>
                <w:rFonts w:ascii="Calibri" w:hAnsi="Calibri"/>
                <w:b w:val="0"/>
                <w:i w:val="0"/>
                <w:color w:val="555555"/>
                <w:sz w:val="20"/>
              </w:rPr>
              <w:t>Return target</w:t>
            </w:r>
          </w:p>
        </w:tc>
        <w:tc>
          <w:tcPr>
            <w:tcW w:type="dxa" w:w="6480"/>
            <w:tcBorders>
              <w:top w:val="nil"/>
              <w:bottom w:val="nil"/>
              <w:left w:val="nil"/>
              <w:right w:val="nil"/>
            </w:tcBorders>
            <w:tcMar>
              <w:top w:w="20" w:type="dxa"/>
              <w:bottom w:w="20" w:type="dxa"/>
              <w:left w:w="0" w:type="dxa"/>
              <w:right w:w="60" w:type="dxa"/>
            </w:tcMar>
            <w:vAlign w:val="top"/>
          </w:tcPr>
          <w:p>
            <w:pPr>
              <w:spacing w:after="0"/>
            </w:pPr>
            <w:r>
              <w:rPr>
                <w:rFonts w:ascii="Consolas" w:hAnsi="Consolas"/>
                <w:b w:val="0"/>
                <w:i w:val="0"/>
                <w:color w:val="1A1A1A"/>
                <w:sz w:val="20"/>
              </w:rPr>
              <w:t>Benchmark + 200–400 bps annualized, net of costs</w:t>
            </w:r>
          </w:p>
        </w:tc>
      </w:tr>
    </w:tbl>
    <w:tbl>
      <w:tblPr>
        <w:tblW w:type="auto" w:w="0"/>
        <w:tblLayout w:type="fixed"/>
        <w:tblLook w:firstColumn="1" w:firstRow="1" w:lastColumn="0" w:lastRow="0" w:noHBand="0" w:noVBand="1" w:val="04A0"/>
      </w:tblPr>
      <w:tblGrid>
        <w:gridCol w:w="2880"/>
        <w:gridCol w:w="6480"/>
      </w:tblGrid>
      <w:tr>
        <w:tc>
          <w:tcPr>
            <w:tcW w:type="dxa" w:w="2880"/>
            <w:tcBorders>
              <w:top w:val="nil"/>
              <w:bottom w:val="nil"/>
              <w:left w:val="nil"/>
              <w:right w:val="nil"/>
            </w:tcBorders>
            <w:tcMar>
              <w:top w:w="20" w:type="dxa"/>
              <w:bottom w:w="20" w:type="dxa"/>
              <w:left w:w="0" w:type="dxa"/>
              <w:right w:w="60" w:type="dxa"/>
            </w:tcMar>
            <w:vAlign w:val="top"/>
          </w:tcPr>
          <w:p>
            <w:pPr>
              <w:spacing w:after="0"/>
            </w:pPr>
            <w:r>
              <w:rPr>
                <w:rFonts w:ascii="Calibri" w:hAnsi="Calibri"/>
                <w:b w:val="0"/>
                <w:i w:val="0"/>
                <w:color w:val="555555"/>
                <w:sz w:val="20"/>
              </w:rPr>
              <w:t>Time horizon</w:t>
            </w:r>
          </w:p>
        </w:tc>
        <w:tc>
          <w:tcPr>
            <w:tcW w:type="dxa" w:w="6480"/>
            <w:tcBorders>
              <w:top w:val="nil"/>
              <w:bottom w:val="nil"/>
              <w:left w:val="nil"/>
              <w:right w:val="nil"/>
            </w:tcBorders>
            <w:tcMar>
              <w:top w:w="20" w:type="dxa"/>
              <w:bottom w:w="20" w:type="dxa"/>
              <w:left w:w="0" w:type="dxa"/>
              <w:right w:w="60" w:type="dxa"/>
            </w:tcMar>
            <w:vAlign w:val="top"/>
          </w:tcPr>
          <w:p>
            <w:pPr>
              <w:spacing w:after="0"/>
            </w:pPr>
            <w:r>
              <w:rPr>
                <w:rFonts w:ascii="Consolas" w:hAnsi="Consolas"/>
                <w:b w:val="0"/>
                <w:i w:val="0"/>
                <w:color w:val="1A1A1A"/>
                <w:sz w:val="20"/>
              </w:rPr>
              <w:t>5+ years</w:t>
            </w:r>
          </w:p>
        </w:tc>
      </w:tr>
    </w:tbl>
    <w:tbl>
      <w:tblPr>
        <w:tblW w:type="auto" w:w="0"/>
        <w:tblLayout w:type="fixed"/>
        <w:tblLook w:firstColumn="1" w:firstRow="1" w:lastColumn="0" w:lastRow="0" w:noHBand="0" w:noVBand="1" w:val="04A0"/>
      </w:tblPr>
      <w:tblGrid>
        <w:gridCol w:w="2880"/>
        <w:gridCol w:w="6480"/>
      </w:tblGrid>
      <w:tr>
        <w:tc>
          <w:tcPr>
            <w:tcW w:type="dxa" w:w="2880"/>
            <w:tcBorders>
              <w:top w:val="nil"/>
              <w:bottom w:val="nil"/>
              <w:left w:val="nil"/>
              <w:right w:val="nil"/>
            </w:tcBorders>
            <w:tcMar>
              <w:top w:w="20" w:type="dxa"/>
              <w:bottom w:w="20" w:type="dxa"/>
              <w:left w:w="0" w:type="dxa"/>
              <w:right w:w="60" w:type="dxa"/>
            </w:tcMar>
            <w:vAlign w:val="top"/>
          </w:tcPr>
          <w:p>
            <w:pPr>
              <w:spacing w:after="0"/>
            </w:pPr>
            <w:r>
              <w:rPr>
                <w:rFonts w:ascii="Calibri" w:hAnsi="Calibri"/>
                <w:b w:val="0"/>
                <w:i w:val="0"/>
                <w:color w:val="555555"/>
                <w:sz w:val="20"/>
              </w:rPr>
              <w:t>Liquidity need</w:t>
            </w:r>
          </w:p>
        </w:tc>
        <w:tc>
          <w:tcPr>
            <w:tcW w:type="dxa" w:w="6480"/>
            <w:tcBorders>
              <w:top w:val="nil"/>
              <w:bottom w:val="nil"/>
              <w:left w:val="nil"/>
              <w:right w:val="nil"/>
            </w:tcBorders>
            <w:tcMar>
              <w:top w:w="20" w:type="dxa"/>
              <w:bottom w:w="20" w:type="dxa"/>
              <w:left w:w="0" w:type="dxa"/>
              <w:right w:w="60" w:type="dxa"/>
            </w:tcMar>
            <w:vAlign w:val="top"/>
          </w:tcPr>
          <w:p>
            <w:pPr>
              <w:spacing w:after="0"/>
            </w:pPr>
            <w:r>
              <w:rPr>
                <w:rFonts w:ascii="Consolas" w:hAnsi="Consolas"/>
                <w:b w:val="0"/>
                <w:i w:val="0"/>
                <w:color w:val="1A1A1A"/>
                <w:sz w:val="20"/>
              </w:rPr>
              <w:t>None assumed; cash floor preserves tactical flexibility</w:t>
            </w:r>
          </w:p>
        </w:tc>
      </w:tr>
    </w:tbl>
    <w:tbl>
      <w:tblPr>
        <w:tblW w:type="auto" w:w="0"/>
        <w:tblLayout w:type="fixed"/>
        <w:tblLook w:firstColumn="1" w:firstRow="1" w:lastColumn="0" w:lastRow="0" w:noHBand="0" w:noVBand="1" w:val="04A0"/>
      </w:tblPr>
      <w:tblGrid>
        <w:gridCol w:w="2880"/>
        <w:gridCol w:w="6480"/>
      </w:tblGrid>
      <w:tr>
        <w:tc>
          <w:tcPr>
            <w:tcW w:type="dxa" w:w="2880"/>
            <w:tcBorders>
              <w:top w:val="nil"/>
              <w:bottom w:val="nil"/>
              <w:left w:val="nil"/>
              <w:right w:val="nil"/>
            </w:tcBorders>
            <w:tcMar>
              <w:top w:w="20" w:type="dxa"/>
              <w:bottom w:w="20" w:type="dxa"/>
              <w:left w:w="0" w:type="dxa"/>
              <w:right w:w="60" w:type="dxa"/>
            </w:tcMar>
            <w:vAlign w:val="top"/>
          </w:tcPr>
          <w:p>
            <w:pPr>
              <w:spacing w:after="0"/>
            </w:pPr>
            <w:r>
              <w:rPr>
                <w:rFonts w:ascii="Calibri" w:hAnsi="Calibri"/>
                <w:b w:val="0"/>
                <w:i w:val="0"/>
                <w:color w:val="555555"/>
                <w:sz w:val="20"/>
              </w:rPr>
              <w:t>Tax regime</w:t>
            </w:r>
          </w:p>
        </w:tc>
        <w:tc>
          <w:tcPr>
            <w:tcW w:type="dxa" w:w="6480"/>
            <w:tcBorders>
              <w:top w:val="nil"/>
              <w:bottom w:val="nil"/>
              <w:left w:val="nil"/>
              <w:right w:val="nil"/>
            </w:tcBorders>
            <w:tcMar>
              <w:top w:w="20" w:type="dxa"/>
              <w:bottom w:w="20" w:type="dxa"/>
              <w:left w:w="0" w:type="dxa"/>
              <w:right w:w="60" w:type="dxa"/>
            </w:tcMar>
            <w:vAlign w:val="top"/>
          </w:tcPr>
          <w:p>
            <w:pPr>
              <w:spacing w:after="0"/>
            </w:pPr>
            <w:r>
              <w:rPr>
                <w:rFonts w:ascii="Consolas" w:hAnsi="Consolas"/>
                <w:b w:val="0"/>
                <w:i w:val="0"/>
                <w:color w:val="1A1A1A"/>
                <w:sz w:val="20"/>
              </w:rPr>
              <w:t>Not specified — treat as taxable until confirmed</w:t>
            </w:r>
          </w:p>
        </w:tc>
      </w:tr>
    </w:tbl>
    <w:p>
      <w:pPr>
        <w:spacing w:before="200" w:after="40"/>
      </w:pPr>
      <w:r>
        <w:rPr>
          <w:rFonts w:ascii="Calibri" w:hAnsi="Calibri"/>
          <w:b/>
          <w:i w:val="0"/>
          <w:color w:val="1A1A1A"/>
          <w:sz w:val="24"/>
          <w:spacing w:val="20"/>
        </w:rPr>
        <w:t>3. POSITION &amp; CONCENTRATION CONSTRAINTS</w:t>
      </w:r>
    </w:p>
    <w:p>
      <w:pPr>
        <w:pBdr>
          <w:bottom w:val="single" w:sz="6" w:space="1" w:color="9A9A9A"/>
        </w:pBdr>
        <w:spacing w:before="40" w:after="40"/>
      </w:pPr>
    </w:p>
    <w:tbl>
      <w:tblPr>
        <w:tblW w:type="auto" w:w="0"/>
        <w:tblLayout w:type="fixed"/>
        <w:tblLook w:firstColumn="1" w:firstRow="1" w:lastColumn="0" w:lastRow="0" w:noHBand="0" w:noVBand="1" w:val="04A0"/>
      </w:tblPr>
      <w:tblGrid>
        <w:gridCol w:w="4608"/>
        <w:gridCol w:w="2304"/>
        <w:gridCol w:w="3600"/>
      </w:tblGrid>
      <w:tr>
        <w:tc>
          <w:tcPr>
            <w:tcW w:type="dxa" w:w="4608"/>
            <w:shd w:val="clear" w:color="auto" w:fill="ECECEC"/>
            <w:tcBorders>
              <w:top w:val="single" w:sz="6" w:space="0" w:color="9A9A9A"/>
              <w:bottom w:val="single" w:sz="6" w:space="0" w:color="9A9A9A"/>
              <w:left w:val="nil"/>
              <w:right w:val="nil"/>
            </w:tcBorders>
            <w:tcMar>
              <w:top w:w="40" w:type="dxa"/>
              <w:bottom w:w="40" w:type="dxa"/>
              <w:left w:w="80" w:type="dxa"/>
              <w:right w:w="80" w:type="dxa"/>
            </w:tcMar>
          </w:tcPr>
          <w:p>
            <w:pPr>
              <w:spacing w:after="0"/>
            </w:pPr>
            <w:r>
              <w:rPr>
                <w:rFonts w:ascii="Calibri" w:hAnsi="Calibri"/>
                <w:b/>
                <w:i w:val="0"/>
                <w:color w:val="1A1A1A"/>
                <w:sz w:val="18"/>
              </w:rPr>
              <w:t>Constraint</w:t>
            </w:r>
          </w:p>
        </w:tc>
        <w:tc>
          <w:tcPr>
            <w:tcW w:type="dxa" w:w="2304"/>
            <w:shd w:val="clear" w:color="auto" w:fill="ECECEC"/>
            <w:tcBorders>
              <w:top w:val="single" w:sz="6" w:space="0" w:color="9A9A9A"/>
              <w:bottom w:val="single" w:sz="6" w:space="0" w:color="9A9A9A"/>
              <w:left w:val="nil"/>
              <w:right w:val="nil"/>
            </w:tcBorders>
            <w:tcMar>
              <w:top w:w="40" w:type="dxa"/>
              <w:bottom w:w="40" w:type="dxa"/>
              <w:left w:w="80" w:type="dxa"/>
              <w:right w:w="80" w:type="dxa"/>
            </w:tcMar>
          </w:tcPr>
          <w:p>
            <w:pPr>
              <w:spacing w:after="0"/>
              <w:jc w:val="right"/>
            </w:pPr>
            <w:r>
              <w:rPr>
                <w:rFonts w:ascii="Calibri" w:hAnsi="Calibri"/>
                <w:b/>
                <w:i w:val="0"/>
                <w:color w:val="1A1A1A"/>
                <w:sz w:val="18"/>
              </w:rPr>
              <w:t>Limit</w:t>
            </w:r>
          </w:p>
        </w:tc>
        <w:tc>
          <w:tcPr>
            <w:tcW w:type="dxa" w:w="3600"/>
            <w:shd w:val="clear" w:color="auto" w:fill="ECECEC"/>
            <w:tcBorders>
              <w:top w:val="single" w:sz="6" w:space="0" w:color="9A9A9A"/>
              <w:bottom w:val="single" w:sz="6" w:space="0" w:color="9A9A9A"/>
              <w:left w:val="nil"/>
              <w:right w:val="nil"/>
            </w:tcBorders>
            <w:tcMar>
              <w:top w:w="40" w:type="dxa"/>
              <w:bottom w:w="40" w:type="dxa"/>
              <w:left w:w="80" w:type="dxa"/>
              <w:right w:w="80" w:type="dxa"/>
            </w:tcMar>
          </w:tcPr>
          <w:p>
            <w:pPr>
              <w:spacing w:after="0"/>
            </w:pPr>
            <w:r>
              <w:rPr>
                <w:rFonts w:ascii="Calibri" w:hAnsi="Calibri"/>
                <w:b/>
                <w:i w:val="0"/>
                <w:color w:val="1A1A1A"/>
                <w:sz w:val="18"/>
              </w:rPr>
              <w:t>Action if breached</w:t>
            </w:r>
          </w:p>
        </w:tc>
      </w:tr>
      <w:tr>
        <w:tc>
          <w:tcPr>
            <w:tcW w:type="dxa" w:w="4608"/>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Max single position (equity)</w:t>
            </w:r>
          </w:p>
        </w:tc>
        <w:tc>
          <w:tcPr>
            <w:tcW w:type="dxa" w:w="2304"/>
            <w:tcBorders>
              <w:top w:val="nil"/>
              <w:left w:val="nil"/>
              <w:right w:val="nil"/>
            </w:tcBorders>
            <w:tcMar>
              <w:top w:w="35" w:type="dxa"/>
              <w:bottom w:w="35" w:type="dxa"/>
              <w:left w:w="80" w:type="dxa"/>
              <w:right w:w="80" w:type="dxa"/>
            </w:tcMar>
          </w:tcPr>
          <w:p>
            <w:pPr>
              <w:spacing w:after="0"/>
              <w:jc w:val="right"/>
            </w:pPr>
            <w:r>
              <w:rPr>
                <w:rFonts w:ascii="Consolas" w:hAnsi="Consolas"/>
                <w:b w:val="0"/>
                <w:i w:val="0"/>
                <w:color w:val="1A1A1A"/>
                <w:sz w:val="19"/>
              </w:rPr>
              <w:t>7.0%</w:t>
            </w:r>
          </w:p>
        </w:tc>
        <w:tc>
          <w:tcPr>
            <w:tcW w:type="dxa" w:w="3600"/>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Trim to 7.0% within 2 trading days</w:t>
            </w:r>
          </w:p>
        </w:tc>
      </w:tr>
      <w:tr>
        <w:tc>
          <w:tcPr>
            <w:tcW w:type="dxa" w:w="4608"/>
            <w:shd w:val="clear" w:color="auto" w:fill="F6F6F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Max single position (ETF)</w:t>
            </w:r>
          </w:p>
        </w:tc>
        <w:tc>
          <w:tcPr>
            <w:tcW w:type="dxa" w:w="2304"/>
            <w:shd w:val="clear" w:color="auto" w:fill="F6F6F6"/>
            <w:tcBorders>
              <w:top w:val="nil"/>
              <w:left w:val="nil"/>
              <w:right w:val="nil"/>
            </w:tcBorders>
            <w:tcMar>
              <w:top w:w="35" w:type="dxa"/>
              <w:bottom w:w="35" w:type="dxa"/>
              <w:left w:w="80" w:type="dxa"/>
              <w:right w:w="80" w:type="dxa"/>
            </w:tcMar>
          </w:tcPr>
          <w:p>
            <w:pPr>
              <w:spacing w:after="0"/>
              <w:jc w:val="right"/>
            </w:pPr>
            <w:r>
              <w:rPr>
                <w:rFonts w:ascii="Consolas" w:hAnsi="Consolas"/>
                <w:b w:val="0"/>
                <w:i w:val="0"/>
                <w:color w:val="1A1A1A"/>
                <w:sz w:val="19"/>
              </w:rPr>
              <w:t>5.0%</w:t>
            </w:r>
          </w:p>
        </w:tc>
        <w:tc>
          <w:tcPr>
            <w:tcW w:type="dxa" w:w="3600"/>
            <w:shd w:val="clear" w:color="auto" w:fill="F6F6F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Trim to 5.0% within 2 trading days</w:t>
            </w:r>
          </w:p>
        </w:tc>
      </w:tr>
      <w:tr>
        <w:tc>
          <w:tcPr>
            <w:tcW w:type="dxa" w:w="4608"/>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Max sector weight</w:t>
            </w:r>
          </w:p>
        </w:tc>
        <w:tc>
          <w:tcPr>
            <w:tcW w:type="dxa" w:w="2304"/>
            <w:tcBorders>
              <w:top w:val="nil"/>
              <w:left w:val="nil"/>
              <w:right w:val="nil"/>
            </w:tcBorders>
            <w:tcMar>
              <w:top w:w="35" w:type="dxa"/>
              <w:bottom w:w="35" w:type="dxa"/>
              <w:left w:w="80" w:type="dxa"/>
              <w:right w:w="80" w:type="dxa"/>
            </w:tcMar>
          </w:tcPr>
          <w:p>
            <w:pPr>
              <w:spacing w:after="0"/>
              <w:jc w:val="right"/>
            </w:pPr>
            <w:r>
              <w:rPr>
                <w:rFonts w:ascii="Consolas" w:hAnsi="Consolas"/>
                <w:b w:val="0"/>
                <w:i w:val="0"/>
                <w:color w:val="1A1A1A"/>
                <w:sz w:val="19"/>
              </w:rPr>
              <w:t>35.0%</w:t>
            </w:r>
          </w:p>
        </w:tc>
        <w:tc>
          <w:tcPr>
            <w:tcW w:type="dxa" w:w="3600"/>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Reduce largest name in sector</w:t>
            </w:r>
          </w:p>
        </w:tc>
      </w:tr>
      <w:tr>
        <w:tc>
          <w:tcPr>
            <w:tcW w:type="dxa" w:w="4608"/>
            <w:shd w:val="clear" w:color="auto" w:fill="F6F6F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Min positions</w:t>
            </w:r>
          </w:p>
        </w:tc>
        <w:tc>
          <w:tcPr>
            <w:tcW w:type="dxa" w:w="2304"/>
            <w:shd w:val="clear" w:color="auto" w:fill="F6F6F6"/>
            <w:tcBorders>
              <w:top w:val="nil"/>
              <w:left w:val="nil"/>
              <w:right w:val="nil"/>
            </w:tcBorders>
            <w:tcMar>
              <w:top w:w="35" w:type="dxa"/>
              <w:bottom w:w="35" w:type="dxa"/>
              <w:left w:w="80" w:type="dxa"/>
              <w:right w:w="80" w:type="dxa"/>
            </w:tcMar>
          </w:tcPr>
          <w:p>
            <w:pPr>
              <w:spacing w:after="0"/>
              <w:jc w:val="right"/>
            </w:pPr>
            <w:r>
              <w:rPr>
                <w:rFonts w:ascii="Consolas" w:hAnsi="Consolas"/>
                <w:b w:val="0"/>
                <w:i w:val="0"/>
                <w:color w:val="1A1A1A"/>
                <w:sz w:val="19"/>
              </w:rPr>
              <w:t>15</w:t>
            </w:r>
          </w:p>
        </w:tc>
        <w:tc>
          <w:tcPr>
            <w:tcW w:type="dxa" w:w="3600"/>
            <w:shd w:val="clear" w:color="auto" w:fill="F6F6F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Halt trims until remediated</w:t>
            </w:r>
          </w:p>
        </w:tc>
      </w:tr>
      <w:tr>
        <w:tc>
          <w:tcPr>
            <w:tcW w:type="dxa" w:w="4608"/>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Max positions</w:t>
            </w:r>
          </w:p>
        </w:tc>
        <w:tc>
          <w:tcPr>
            <w:tcW w:type="dxa" w:w="2304"/>
            <w:tcBorders>
              <w:top w:val="nil"/>
              <w:left w:val="nil"/>
              <w:right w:val="nil"/>
            </w:tcBorders>
            <w:tcMar>
              <w:top w:w="35" w:type="dxa"/>
              <w:bottom w:w="35" w:type="dxa"/>
              <w:left w:w="80" w:type="dxa"/>
              <w:right w:w="80" w:type="dxa"/>
            </w:tcMar>
          </w:tcPr>
          <w:p>
            <w:pPr>
              <w:spacing w:after="0"/>
              <w:jc w:val="right"/>
            </w:pPr>
            <w:r>
              <w:rPr>
                <w:rFonts w:ascii="Consolas" w:hAnsi="Consolas"/>
                <w:b w:val="0"/>
                <w:i w:val="0"/>
                <w:color w:val="1A1A1A"/>
                <w:sz w:val="19"/>
              </w:rPr>
              <w:t>30</w:t>
            </w:r>
          </w:p>
        </w:tc>
        <w:tc>
          <w:tcPr>
            <w:tcW w:type="dxa" w:w="3600"/>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Consolidate lowest-conviction name</w:t>
            </w:r>
          </w:p>
        </w:tc>
      </w:tr>
      <w:tr>
        <w:tc>
          <w:tcPr>
            <w:tcW w:type="dxa" w:w="4608"/>
            <w:shd w:val="clear" w:color="auto" w:fill="F6F6F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Cash band</w:t>
            </w:r>
          </w:p>
        </w:tc>
        <w:tc>
          <w:tcPr>
            <w:tcW w:type="dxa" w:w="2304"/>
            <w:shd w:val="clear" w:color="auto" w:fill="F6F6F6"/>
            <w:tcBorders>
              <w:top w:val="nil"/>
              <w:left w:val="nil"/>
              <w:right w:val="nil"/>
            </w:tcBorders>
            <w:tcMar>
              <w:top w:w="35" w:type="dxa"/>
              <w:bottom w:w="35" w:type="dxa"/>
              <w:left w:w="80" w:type="dxa"/>
              <w:right w:w="80" w:type="dxa"/>
            </w:tcMar>
          </w:tcPr>
          <w:p>
            <w:pPr>
              <w:spacing w:after="0"/>
              <w:jc w:val="right"/>
            </w:pPr>
            <w:r>
              <w:rPr>
                <w:rFonts w:ascii="Consolas" w:hAnsi="Consolas"/>
                <w:b w:val="0"/>
                <w:i w:val="0"/>
                <w:color w:val="1A1A1A"/>
                <w:sz w:val="19"/>
              </w:rPr>
              <w:t>10.0% – 20.0%</w:t>
            </w:r>
          </w:p>
        </w:tc>
        <w:tc>
          <w:tcPr>
            <w:tcW w:type="dxa" w:w="3600"/>
            <w:shd w:val="clear" w:color="auto" w:fill="F6F6F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Rebalance toward midpoint (15%)</w:t>
            </w:r>
          </w:p>
        </w:tc>
      </w:tr>
      <w:tr>
        <w:tc>
          <w:tcPr>
            <w:tcW w:type="dxa" w:w="4608"/>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Rebalance tolerance (vs. target)</w:t>
            </w:r>
          </w:p>
        </w:tc>
        <w:tc>
          <w:tcPr>
            <w:tcW w:type="dxa" w:w="2304"/>
            <w:tcBorders>
              <w:top w:val="nil"/>
              <w:left w:val="nil"/>
              <w:right w:val="nil"/>
            </w:tcBorders>
            <w:tcMar>
              <w:top w:w="35" w:type="dxa"/>
              <w:bottom w:w="35" w:type="dxa"/>
              <w:left w:w="80" w:type="dxa"/>
              <w:right w:w="80" w:type="dxa"/>
            </w:tcMar>
          </w:tcPr>
          <w:p>
            <w:pPr>
              <w:spacing w:after="0"/>
              <w:jc w:val="right"/>
            </w:pPr>
            <w:r>
              <w:rPr>
                <w:rFonts w:ascii="Consolas" w:hAnsi="Consolas"/>
                <w:b w:val="0"/>
                <w:i w:val="0"/>
                <w:color w:val="1A1A1A"/>
                <w:sz w:val="19"/>
              </w:rPr>
              <w:t>±0.50%</w:t>
            </w:r>
          </w:p>
        </w:tc>
        <w:tc>
          <w:tcPr>
            <w:tcW w:type="dxa" w:w="3600"/>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Rebalance at weekly review</w:t>
            </w:r>
          </w:p>
        </w:tc>
      </w:tr>
      <w:tr>
        <w:tc>
          <w:tcPr>
            <w:tcW w:type="dxa" w:w="4608"/>
            <w:shd w:val="clear" w:color="auto" w:fill="F6F6F6"/>
            <w:tcBorders>
              <w:top w:val="nil"/>
              <w:bottom w:val="single" w:sz="4" w:space="0" w:color="CFCFCF"/>
              <w:left w:val="nil"/>
              <w:right w:val="nil"/>
            </w:tcBorders>
            <w:tcMar>
              <w:top w:w="35" w:type="dxa"/>
              <w:bottom w:w="35" w:type="dxa"/>
              <w:left w:w="80" w:type="dxa"/>
              <w:right w:w="80" w:type="dxa"/>
            </w:tcMar>
          </w:tcPr>
          <w:p>
            <w:pPr>
              <w:spacing w:after="0"/>
            </w:pPr>
            <w:r>
              <w:rPr>
                <w:rFonts w:ascii="Calibri" w:hAnsi="Calibri"/>
                <w:b w:val="0"/>
                <w:i w:val="0"/>
                <w:color w:val="1A1A1A"/>
                <w:sz w:val="19"/>
              </w:rPr>
              <w:t>Non-U.S. equity exposure</w:t>
            </w:r>
          </w:p>
        </w:tc>
        <w:tc>
          <w:tcPr>
            <w:tcW w:type="dxa" w:w="2304"/>
            <w:shd w:val="clear" w:color="auto" w:fill="F6F6F6"/>
            <w:tcBorders>
              <w:top w:val="nil"/>
              <w:bottom w:val="single" w:sz="4" w:space="0" w:color="CFCFCF"/>
              <w:left w:val="nil"/>
              <w:right w:val="nil"/>
            </w:tcBorders>
            <w:tcMar>
              <w:top w:w="35" w:type="dxa"/>
              <w:bottom w:w="35" w:type="dxa"/>
              <w:left w:w="80" w:type="dxa"/>
              <w:right w:w="80" w:type="dxa"/>
            </w:tcMar>
          </w:tcPr>
          <w:p>
            <w:pPr>
              <w:spacing w:after="0"/>
              <w:jc w:val="right"/>
            </w:pPr>
            <w:r>
              <w:rPr>
                <w:rFonts w:ascii="Consolas" w:hAnsi="Consolas"/>
                <w:b w:val="0"/>
                <w:i w:val="0"/>
                <w:color w:val="1A1A1A"/>
                <w:sz w:val="19"/>
              </w:rPr>
              <w:t>≤10.0%</w:t>
            </w:r>
          </w:p>
        </w:tc>
        <w:tc>
          <w:tcPr>
            <w:tcW w:type="dxa" w:w="3600"/>
            <w:shd w:val="clear" w:color="auto" w:fill="F6F6F6"/>
            <w:tcBorders>
              <w:top w:val="nil"/>
              <w:bottom w:val="single" w:sz="4" w:space="0" w:color="CFCFCF"/>
              <w:left w:val="nil"/>
              <w:right w:val="nil"/>
            </w:tcBorders>
            <w:tcMar>
              <w:top w:w="35" w:type="dxa"/>
              <w:bottom w:w="35" w:type="dxa"/>
              <w:left w:w="80" w:type="dxa"/>
              <w:right w:w="80" w:type="dxa"/>
            </w:tcMar>
          </w:tcPr>
          <w:p>
            <w:pPr>
              <w:spacing w:after="0"/>
            </w:pPr>
            <w:r>
              <w:rPr>
                <w:rFonts w:ascii="Calibri" w:hAnsi="Calibri"/>
                <w:b w:val="0"/>
                <w:i w:val="0"/>
                <w:color w:val="1A1A1A"/>
                <w:sz w:val="19"/>
              </w:rPr>
              <w:t>Domicile-based, ADR counted</w:t>
            </w:r>
          </w:p>
        </w:tc>
      </w:tr>
    </w:tbl>
    <w:p>
      <w:pPr>
        <w:spacing w:before="200" w:after="40"/>
      </w:pPr>
      <w:r>
        <w:rPr>
          <w:rFonts w:ascii="Calibri" w:hAnsi="Calibri"/>
          <w:b/>
          <w:i w:val="0"/>
          <w:color w:val="1A1A1A"/>
          <w:sz w:val="24"/>
          <w:spacing w:val="20"/>
        </w:rPr>
        <w:t>4. RISK LIMITS</w:t>
      </w:r>
    </w:p>
    <w:p>
      <w:pPr>
        <w:pBdr>
          <w:bottom w:val="single" w:sz="6" w:space="1" w:color="9A9A9A"/>
        </w:pBdr>
        <w:spacing w:before="40" w:after="40"/>
      </w:pPr>
    </w:p>
    <w:tbl>
      <w:tblPr>
        <w:tblW w:type="auto" w:w="0"/>
        <w:tblLayout w:type="fixed"/>
        <w:tblLook w:firstColumn="1" w:firstRow="1" w:lastColumn="0" w:lastRow="0" w:noHBand="0" w:noVBand="1" w:val="04A0"/>
      </w:tblPr>
      <w:tblGrid>
        <w:gridCol w:w="4608"/>
        <w:gridCol w:w="2304"/>
        <w:gridCol w:w="3600"/>
      </w:tblGrid>
      <w:tr>
        <w:tc>
          <w:tcPr>
            <w:tcW w:type="dxa" w:w="4608"/>
            <w:shd w:val="clear" w:color="auto" w:fill="ECECEC"/>
            <w:tcBorders>
              <w:top w:val="single" w:sz="6" w:space="0" w:color="9A9A9A"/>
              <w:bottom w:val="single" w:sz="6" w:space="0" w:color="9A9A9A"/>
              <w:left w:val="nil"/>
              <w:right w:val="nil"/>
            </w:tcBorders>
            <w:tcMar>
              <w:top w:w="40" w:type="dxa"/>
              <w:bottom w:w="40" w:type="dxa"/>
              <w:left w:w="80" w:type="dxa"/>
              <w:right w:w="80" w:type="dxa"/>
            </w:tcMar>
          </w:tcPr>
          <w:p>
            <w:pPr>
              <w:spacing w:after="0"/>
            </w:pPr>
            <w:r>
              <w:rPr>
                <w:rFonts w:ascii="Calibri" w:hAnsi="Calibri"/>
                <w:b/>
                <w:i w:val="0"/>
                <w:color w:val="1A1A1A"/>
                <w:sz w:val="18"/>
              </w:rPr>
              <w:t>Metric</w:t>
            </w:r>
          </w:p>
        </w:tc>
        <w:tc>
          <w:tcPr>
            <w:tcW w:type="dxa" w:w="2304"/>
            <w:shd w:val="clear" w:color="auto" w:fill="ECECEC"/>
            <w:tcBorders>
              <w:top w:val="single" w:sz="6" w:space="0" w:color="9A9A9A"/>
              <w:bottom w:val="single" w:sz="6" w:space="0" w:color="9A9A9A"/>
              <w:left w:val="nil"/>
              <w:right w:val="nil"/>
            </w:tcBorders>
            <w:tcMar>
              <w:top w:w="40" w:type="dxa"/>
              <w:bottom w:w="40" w:type="dxa"/>
              <w:left w:w="80" w:type="dxa"/>
              <w:right w:w="80" w:type="dxa"/>
            </w:tcMar>
          </w:tcPr>
          <w:p>
            <w:pPr>
              <w:spacing w:after="0"/>
              <w:jc w:val="right"/>
            </w:pPr>
            <w:r>
              <w:rPr>
                <w:rFonts w:ascii="Calibri" w:hAnsi="Calibri"/>
                <w:b/>
                <w:i w:val="0"/>
                <w:color w:val="1A1A1A"/>
                <w:sz w:val="18"/>
              </w:rPr>
              <w:t>Ceiling / Floor</w:t>
            </w:r>
          </w:p>
        </w:tc>
        <w:tc>
          <w:tcPr>
            <w:tcW w:type="dxa" w:w="3600"/>
            <w:shd w:val="clear" w:color="auto" w:fill="ECECEC"/>
            <w:tcBorders>
              <w:top w:val="single" w:sz="6" w:space="0" w:color="9A9A9A"/>
              <w:bottom w:val="single" w:sz="6" w:space="0" w:color="9A9A9A"/>
              <w:left w:val="nil"/>
              <w:right w:val="nil"/>
            </w:tcBorders>
            <w:tcMar>
              <w:top w:w="40" w:type="dxa"/>
              <w:bottom w:w="40" w:type="dxa"/>
              <w:left w:w="80" w:type="dxa"/>
              <w:right w:w="80" w:type="dxa"/>
            </w:tcMar>
          </w:tcPr>
          <w:p>
            <w:pPr>
              <w:spacing w:after="0"/>
            </w:pPr>
            <w:r>
              <w:rPr>
                <w:rFonts w:ascii="Calibri" w:hAnsi="Calibri"/>
                <w:b/>
                <w:i w:val="0"/>
                <w:color w:val="1A1A1A"/>
                <w:sz w:val="18"/>
              </w:rPr>
              <w:t>Measurement</w:t>
            </w:r>
          </w:p>
        </w:tc>
      </w:tr>
      <w:tr>
        <w:tc>
          <w:tcPr>
            <w:tcW w:type="dxa" w:w="4608"/>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Annualized tracking error</w:t>
            </w:r>
          </w:p>
        </w:tc>
        <w:tc>
          <w:tcPr>
            <w:tcW w:type="dxa" w:w="2304"/>
            <w:tcBorders>
              <w:top w:val="nil"/>
              <w:left w:val="nil"/>
              <w:right w:val="nil"/>
            </w:tcBorders>
            <w:tcMar>
              <w:top w:w="35" w:type="dxa"/>
              <w:bottom w:w="35" w:type="dxa"/>
              <w:left w:w="80" w:type="dxa"/>
              <w:right w:w="80" w:type="dxa"/>
            </w:tcMar>
          </w:tcPr>
          <w:p>
            <w:pPr>
              <w:spacing w:after="0"/>
              <w:jc w:val="right"/>
            </w:pPr>
            <w:r>
              <w:rPr>
                <w:rFonts w:ascii="Consolas" w:hAnsi="Consolas"/>
                <w:b w:val="0"/>
                <w:i w:val="0"/>
                <w:color w:val="1A1A1A"/>
                <w:sz w:val="19"/>
              </w:rPr>
              <w:t>≤ 6.0%</w:t>
            </w:r>
          </w:p>
        </w:tc>
        <w:tc>
          <w:tcPr>
            <w:tcW w:type="dxa" w:w="3600"/>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Rolling 60-day, daily returns</w:t>
            </w:r>
          </w:p>
        </w:tc>
      </w:tr>
      <w:tr>
        <w:tc>
          <w:tcPr>
            <w:tcW w:type="dxa" w:w="4608"/>
            <w:shd w:val="clear" w:color="auto" w:fill="F6F6F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Portfolio beta vs. SPX</w:t>
            </w:r>
          </w:p>
        </w:tc>
        <w:tc>
          <w:tcPr>
            <w:tcW w:type="dxa" w:w="2304"/>
            <w:shd w:val="clear" w:color="auto" w:fill="F6F6F6"/>
            <w:tcBorders>
              <w:top w:val="nil"/>
              <w:left w:val="nil"/>
              <w:right w:val="nil"/>
            </w:tcBorders>
            <w:tcMar>
              <w:top w:w="35" w:type="dxa"/>
              <w:bottom w:w="35" w:type="dxa"/>
              <w:left w:w="80" w:type="dxa"/>
              <w:right w:w="80" w:type="dxa"/>
            </w:tcMar>
          </w:tcPr>
          <w:p>
            <w:pPr>
              <w:spacing w:after="0"/>
              <w:jc w:val="right"/>
            </w:pPr>
            <w:r>
              <w:rPr>
                <w:rFonts w:ascii="Consolas" w:hAnsi="Consolas"/>
                <w:b w:val="0"/>
                <w:i w:val="0"/>
                <w:color w:val="1A1A1A"/>
                <w:sz w:val="19"/>
              </w:rPr>
              <w:t>0.85 – 1.25</w:t>
            </w:r>
          </w:p>
        </w:tc>
        <w:tc>
          <w:tcPr>
            <w:tcW w:type="dxa" w:w="3600"/>
            <w:shd w:val="clear" w:color="auto" w:fill="F6F6F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Rolling 60-day OLS</w:t>
            </w:r>
          </w:p>
        </w:tc>
      </w:tr>
      <w:tr>
        <w:tc>
          <w:tcPr>
            <w:tcW w:type="dxa" w:w="4608"/>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Max drawdown (peak-to-trough)</w:t>
            </w:r>
          </w:p>
        </w:tc>
        <w:tc>
          <w:tcPr>
            <w:tcW w:type="dxa" w:w="2304"/>
            <w:tcBorders>
              <w:top w:val="nil"/>
              <w:left w:val="nil"/>
              <w:right w:val="nil"/>
            </w:tcBorders>
            <w:tcMar>
              <w:top w:w="35" w:type="dxa"/>
              <w:bottom w:w="35" w:type="dxa"/>
              <w:left w:w="80" w:type="dxa"/>
              <w:right w:w="80" w:type="dxa"/>
            </w:tcMar>
          </w:tcPr>
          <w:p>
            <w:pPr>
              <w:spacing w:after="0"/>
              <w:jc w:val="right"/>
            </w:pPr>
            <w:r>
              <w:rPr>
                <w:rFonts w:ascii="Consolas" w:hAnsi="Consolas"/>
                <w:b w:val="0"/>
                <w:i w:val="0"/>
                <w:color w:val="1A1A1A"/>
                <w:sz w:val="19"/>
              </w:rPr>
              <w:t>≥ –15.0%</w:t>
            </w:r>
          </w:p>
        </w:tc>
        <w:tc>
          <w:tcPr>
            <w:tcW w:type="dxa" w:w="3600"/>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Continuous; triggers de-risk review</w:t>
            </w:r>
          </w:p>
        </w:tc>
      </w:tr>
      <w:tr>
        <w:tc>
          <w:tcPr>
            <w:tcW w:type="dxa" w:w="4608"/>
            <w:shd w:val="clear" w:color="auto" w:fill="F6F6F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Annualized volatility</w:t>
            </w:r>
          </w:p>
        </w:tc>
        <w:tc>
          <w:tcPr>
            <w:tcW w:type="dxa" w:w="2304"/>
            <w:shd w:val="clear" w:color="auto" w:fill="F6F6F6"/>
            <w:tcBorders>
              <w:top w:val="nil"/>
              <w:left w:val="nil"/>
              <w:right w:val="nil"/>
            </w:tcBorders>
            <w:tcMar>
              <w:top w:w="35" w:type="dxa"/>
              <w:bottom w:w="35" w:type="dxa"/>
              <w:left w:w="80" w:type="dxa"/>
              <w:right w:w="80" w:type="dxa"/>
            </w:tcMar>
          </w:tcPr>
          <w:p>
            <w:pPr>
              <w:spacing w:after="0"/>
              <w:jc w:val="right"/>
            </w:pPr>
            <w:r>
              <w:rPr>
                <w:rFonts w:ascii="Consolas" w:hAnsi="Consolas"/>
                <w:b w:val="0"/>
                <w:i w:val="0"/>
                <w:color w:val="1A1A1A"/>
                <w:sz w:val="19"/>
              </w:rPr>
              <w:t>≤ 22.0%</w:t>
            </w:r>
          </w:p>
        </w:tc>
        <w:tc>
          <w:tcPr>
            <w:tcW w:type="dxa" w:w="3600"/>
            <w:shd w:val="clear" w:color="auto" w:fill="F6F6F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Rolling 60-day, daily returns</w:t>
            </w:r>
          </w:p>
        </w:tc>
      </w:tr>
      <w:tr>
        <w:tc>
          <w:tcPr>
            <w:tcW w:type="dxa" w:w="4608"/>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Single-name loss cap</w:t>
            </w:r>
          </w:p>
        </w:tc>
        <w:tc>
          <w:tcPr>
            <w:tcW w:type="dxa" w:w="2304"/>
            <w:tcBorders>
              <w:top w:val="nil"/>
              <w:left w:val="nil"/>
              <w:right w:val="nil"/>
            </w:tcBorders>
            <w:tcMar>
              <w:top w:w="35" w:type="dxa"/>
              <w:bottom w:w="35" w:type="dxa"/>
              <w:left w:w="80" w:type="dxa"/>
              <w:right w:w="80" w:type="dxa"/>
            </w:tcMar>
          </w:tcPr>
          <w:p>
            <w:pPr>
              <w:spacing w:after="0"/>
              <w:jc w:val="right"/>
            </w:pPr>
            <w:r>
              <w:rPr>
                <w:rFonts w:ascii="Consolas" w:hAnsi="Consolas"/>
                <w:b w:val="0"/>
                <w:i w:val="0"/>
                <w:color w:val="1A1A1A"/>
                <w:sz w:val="19"/>
              </w:rPr>
              <w:t>≥ –25.0%</w:t>
            </w:r>
          </w:p>
        </w:tc>
        <w:tc>
          <w:tcPr>
            <w:tcW w:type="dxa" w:w="3600"/>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From entry; triggers mandatory review</w:t>
            </w:r>
          </w:p>
        </w:tc>
      </w:tr>
      <w:tr>
        <w:tc>
          <w:tcPr>
            <w:tcW w:type="dxa" w:w="4608"/>
            <w:shd w:val="clear" w:color="auto" w:fill="F6F6F6"/>
            <w:tcBorders>
              <w:top w:val="nil"/>
              <w:bottom w:val="single" w:sz="4" w:space="0" w:color="CFCFCF"/>
              <w:left w:val="nil"/>
              <w:right w:val="nil"/>
            </w:tcBorders>
            <w:tcMar>
              <w:top w:w="35" w:type="dxa"/>
              <w:bottom w:w="35" w:type="dxa"/>
              <w:left w:w="80" w:type="dxa"/>
              <w:right w:w="80" w:type="dxa"/>
            </w:tcMar>
          </w:tcPr>
          <w:p>
            <w:pPr>
              <w:spacing w:after="0"/>
            </w:pPr>
            <w:r>
              <w:rPr>
                <w:rFonts w:ascii="Calibri" w:hAnsi="Calibri"/>
                <w:b w:val="0"/>
                <w:i w:val="0"/>
                <w:color w:val="1A1A1A"/>
                <w:sz w:val="19"/>
              </w:rPr>
              <w:t>Leverage</w:t>
            </w:r>
          </w:p>
        </w:tc>
        <w:tc>
          <w:tcPr>
            <w:tcW w:type="dxa" w:w="2304"/>
            <w:shd w:val="clear" w:color="auto" w:fill="F6F6F6"/>
            <w:tcBorders>
              <w:top w:val="nil"/>
              <w:bottom w:val="single" w:sz="4" w:space="0" w:color="CFCFCF"/>
              <w:left w:val="nil"/>
              <w:right w:val="nil"/>
            </w:tcBorders>
            <w:tcMar>
              <w:top w:w="35" w:type="dxa"/>
              <w:bottom w:w="35" w:type="dxa"/>
              <w:left w:w="80" w:type="dxa"/>
              <w:right w:w="80" w:type="dxa"/>
            </w:tcMar>
          </w:tcPr>
          <w:p>
            <w:pPr>
              <w:spacing w:after="0"/>
              <w:jc w:val="right"/>
            </w:pPr>
            <w:r>
              <w:rPr>
                <w:rFonts w:ascii="Consolas" w:hAnsi="Consolas"/>
                <w:b w:val="0"/>
                <w:i w:val="0"/>
                <w:color w:val="1A1A1A"/>
                <w:sz w:val="19"/>
              </w:rPr>
              <w:t>None</w:t>
            </w:r>
          </w:p>
        </w:tc>
        <w:tc>
          <w:tcPr>
            <w:tcW w:type="dxa" w:w="3600"/>
            <w:shd w:val="clear" w:color="auto" w:fill="F6F6F6"/>
            <w:tcBorders>
              <w:top w:val="nil"/>
              <w:bottom w:val="single" w:sz="4" w:space="0" w:color="CFCFCF"/>
              <w:left w:val="nil"/>
              <w:right w:val="nil"/>
            </w:tcBorders>
            <w:tcMar>
              <w:top w:w="35" w:type="dxa"/>
              <w:bottom w:w="35" w:type="dxa"/>
              <w:left w:w="80" w:type="dxa"/>
              <w:right w:w="80" w:type="dxa"/>
            </w:tcMar>
          </w:tcPr>
          <w:p>
            <w:pPr>
              <w:spacing w:after="0"/>
            </w:pPr>
            <w:r>
              <w:rPr>
                <w:rFonts w:ascii="Calibri" w:hAnsi="Calibri"/>
                <w:b w:val="0"/>
                <w:i w:val="0"/>
                <w:color w:val="1A1A1A"/>
                <w:sz w:val="19"/>
              </w:rPr>
              <w:t>No margin, no options, no shorts</w:t>
            </w:r>
          </w:p>
        </w:tc>
      </w:tr>
    </w:tbl>
    <w:p>
      <w:pPr>
        <w:spacing w:after="80"/>
      </w:pPr>
      <w:r>
        <w:rPr>
          <w:rFonts w:ascii="Calibri" w:hAnsi="Calibri"/>
          <w:b w:val="0"/>
          <w:i/>
          <w:color w:val="555555"/>
          <w:sz w:val="18"/>
        </w:rPr>
        <w:t>A ceiling breach triggers a written review at the next daily touchpoint. A drawdown breach triggers an immediate de-risk proposal (raise cash toward 20%, trim highest-beta names first).</w:t>
      </w:r>
    </w:p>
    <w:p>
      <w:pPr>
        <w:spacing w:before="200" w:after="40"/>
      </w:pPr>
      <w:r>
        <w:rPr>
          <w:rFonts w:ascii="Calibri" w:hAnsi="Calibri"/>
          <w:b/>
          <w:i w:val="0"/>
          <w:color w:val="1A1A1A"/>
          <w:sz w:val="24"/>
          <w:spacing w:val="20"/>
        </w:rPr>
        <w:t>5. REBALANCE &amp; TRADING POLICY</w:t>
      </w:r>
    </w:p>
    <w:p>
      <w:pPr>
        <w:pBdr>
          <w:bottom w:val="single" w:sz="6" w:space="1" w:color="9A9A9A"/>
        </w:pBdr>
        <w:spacing w:before="40" w:after="40"/>
      </w:pPr>
    </w:p>
    <w:tbl>
      <w:tblPr>
        <w:tblW w:type="auto" w:w="0"/>
        <w:tblLayout w:type="fixed"/>
        <w:tblLook w:firstColumn="1" w:firstRow="1" w:lastColumn="0" w:lastRow="0" w:noHBand="0" w:noVBand="1" w:val="04A0"/>
      </w:tblPr>
      <w:tblGrid>
        <w:gridCol w:w="4896"/>
        <w:gridCol w:w="5616"/>
      </w:tblGrid>
      <w:tr>
        <w:tc>
          <w:tcPr>
            <w:tcW w:type="dxa" w:w="4896"/>
            <w:shd w:val="clear" w:color="auto" w:fill="ECECEC"/>
            <w:tcBorders>
              <w:top w:val="single" w:sz="6" w:space="0" w:color="9A9A9A"/>
              <w:bottom w:val="single" w:sz="6" w:space="0" w:color="9A9A9A"/>
              <w:left w:val="nil"/>
              <w:right w:val="nil"/>
            </w:tcBorders>
            <w:tcMar>
              <w:top w:w="40" w:type="dxa"/>
              <w:bottom w:w="40" w:type="dxa"/>
              <w:left w:w="80" w:type="dxa"/>
              <w:right w:w="80" w:type="dxa"/>
            </w:tcMar>
          </w:tcPr>
          <w:p>
            <w:pPr>
              <w:spacing w:after="0"/>
            </w:pPr>
            <w:r>
              <w:rPr>
                <w:rFonts w:ascii="Calibri" w:hAnsi="Calibri"/>
                <w:b/>
                <w:i w:val="0"/>
                <w:color w:val="1A1A1A"/>
                <w:sz w:val="18"/>
              </w:rPr>
              <w:t>Trigger</w:t>
            </w:r>
          </w:p>
        </w:tc>
        <w:tc>
          <w:tcPr>
            <w:tcW w:type="dxa" w:w="5616"/>
            <w:shd w:val="clear" w:color="auto" w:fill="ECECEC"/>
            <w:tcBorders>
              <w:top w:val="single" w:sz="6" w:space="0" w:color="9A9A9A"/>
              <w:bottom w:val="single" w:sz="6" w:space="0" w:color="9A9A9A"/>
              <w:left w:val="nil"/>
              <w:right w:val="nil"/>
            </w:tcBorders>
            <w:tcMar>
              <w:top w:w="40" w:type="dxa"/>
              <w:bottom w:w="40" w:type="dxa"/>
              <w:left w:w="80" w:type="dxa"/>
              <w:right w:w="80" w:type="dxa"/>
            </w:tcMar>
          </w:tcPr>
          <w:p>
            <w:pPr>
              <w:spacing w:after="0"/>
            </w:pPr>
            <w:r>
              <w:rPr>
                <w:rFonts w:ascii="Calibri" w:hAnsi="Calibri"/>
                <w:b/>
                <w:i w:val="0"/>
                <w:color w:val="1A1A1A"/>
                <w:sz w:val="18"/>
              </w:rPr>
              <w:t>Response</w:t>
            </w:r>
          </w:p>
        </w:tc>
      </w:tr>
      <w:tr>
        <w:tc>
          <w:tcPr>
            <w:tcW w:type="dxa" w:w="489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Position drift &gt; ±0.50% from target</w:t>
            </w:r>
          </w:p>
        </w:tc>
        <w:tc>
          <w:tcPr>
            <w:tcW w:type="dxa" w:w="561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Rebalance at next weekly review</w:t>
            </w:r>
          </w:p>
        </w:tc>
      </w:tr>
      <w:tr>
        <w:tc>
          <w:tcPr>
            <w:tcW w:type="dxa" w:w="4896"/>
            <w:shd w:val="clear" w:color="auto" w:fill="F6F6F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Cash outside 10–20% band</w:t>
            </w:r>
          </w:p>
        </w:tc>
        <w:tc>
          <w:tcPr>
            <w:tcW w:type="dxa" w:w="5616"/>
            <w:shd w:val="clear" w:color="auto" w:fill="F6F6F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Rebalance toward 15% within 2 sessions</w:t>
            </w:r>
          </w:p>
        </w:tc>
      </w:tr>
      <w:tr>
        <w:tc>
          <w:tcPr>
            <w:tcW w:type="dxa" w:w="489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Conviction change (thesis break)</w:t>
            </w:r>
          </w:p>
        </w:tc>
        <w:tc>
          <w:tcPr>
            <w:tcW w:type="dxa" w:w="561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Exit within 3 sessions; log reason</w:t>
            </w:r>
          </w:p>
        </w:tc>
      </w:tr>
      <w:tr>
        <w:tc>
          <w:tcPr>
            <w:tcW w:type="dxa" w:w="4896"/>
            <w:shd w:val="clear" w:color="auto" w:fill="F6F6F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Hard catalyst (earnings, macro shock)</w:t>
            </w:r>
          </w:p>
        </w:tc>
        <w:tc>
          <w:tcPr>
            <w:tcW w:type="dxa" w:w="5616"/>
            <w:shd w:val="clear" w:color="auto" w:fill="F6F6F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Pre-set trigger; no improvisation</w:t>
            </w:r>
          </w:p>
        </w:tc>
      </w:tr>
      <w:tr>
        <w:tc>
          <w:tcPr>
            <w:tcW w:type="dxa" w:w="4896"/>
            <w:tcBorders>
              <w:top w:val="nil"/>
              <w:bottom w:val="single" w:sz="4" w:space="0" w:color="CFCFCF"/>
              <w:left w:val="nil"/>
              <w:right w:val="nil"/>
            </w:tcBorders>
            <w:tcMar>
              <w:top w:w="35" w:type="dxa"/>
              <w:bottom w:w="35" w:type="dxa"/>
              <w:left w:w="80" w:type="dxa"/>
              <w:right w:w="80" w:type="dxa"/>
            </w:tcMar>
          </w:tcPr>
          <w:p>
            <w:pPr>
              <w:spacing w:after="0"/>
            </w:pPr>
            <w:r>
              <w:rPr>
                <w:rFonts w:ascii="Calibri" w:hAnsi="Calibri"/>
                <w:b w:val="0"/>
                <w:i w:val="0"/>
                <w:color w:val="1A1A1A"/>
                <w:sz w:val="19"/>
              </w:rPr>
              <w:t>Stop-loss at –25% from entry</w:t>
            </w:r>
          </w:p>
        </w:tc>
        <w:tc>
          <w:tcPr>
            <w:tcW w:type="dxa" w:w="5616"/>
            <w:tcBorders>
              <w:top w:val="nil"/>
              <w:bottom w:val="single" w:sz="4" w:space="0" w:color="CFCFCF"/>
              <w:left w:val="nil"/>
              <w:right w:val="nil"/>
            </w:tcBorders>
            <w:tcMar>
              <w:top w:w="35" w:type="dxa"/>
              <w:bottom w:w="35" w:type="dxa"/>
              <w:left w:w="80" w:type="dxa"/>
              <w:right w:w="80" w:type="dxa"/>
            </w:tcMar>
          </w:tcPr>
          <w:p>
            <w:pPr>
              <w:spacing w:after="0"/>
            </w:pPr>
            <w:r>
              <w:rPr>
                <w:rFonts w:ascii="Calibri" w:hAnsi="Calibri"/>
                <w:b w:val="0"/>
                <w:i w:val="0"/>
                <w:color w:val="1A1A1A"/>
                <w:sz w:val="19"/>
              </w:rPr>
              <w:t>Mandatory review, not automatic sell</w:t>
            </w:r>
          </w:p>
        </w:tc>
      </w:tr>
    </w:tbl>
    <w:p>
      <w:pPr>
        <w:spacing w:after="80"/>
      </w:pPr>
      <w:r>
        <w:rPr>
          <w:rFonts w:ascii="Calibri" w:hAnsi="Calibri"/>
          <w:b w:val="0"/>
          <w:i/>
          <w:color w:val="555555"/>
          <w:sz w:val="18"/>
        </w:rPr>
        <w:t>Every discretionary trade requires a written pre-mortem: the single sentence “this decision is wrong if ___” must be logged before execution. Every recommendation must carry a confidence rating (HIGH / MED / LOW), an explicit size, and an exit condition (price stop or thesis stop).</w:t>
      </w:r>
    </w:p>
    <w:p>
      <w:pPr>
        <w:spacing w:before="200" w:after="40"/>
      </w:pPr>
      <w:r>
        <w:rPr>
          <w:rFonts w:ascii="Calibri" w:hAnsi="Calibri"/>
          <w:b/>
          <w:i w:val="0"/>
          <w:color w:val="1A1A1A"/>
          <w:sz w:val="24"/>
          <w:spacing w:val="20"/>
        </w:rPr>
        <w:t>6. REPORTING &amp; GOVERNANCE</w:t>
      </w:r>
    </w:p>
    <w:p>
      <w:pPr>
        <w:pBdr>
          <w:bottom w:val="single" w:sz="6" w:space="1" w:color="9A9A9A"/>
        </w:pBdr>
        <w:spacing w:before="40" w:after="40"/>
      </w:pPr>
    </w:p>
    <w:tbl>
      <w:tblPr>
        <w:tblW w:type="auto" w:w="0"/>
        <w:tblLayout w:type="fixed"/>
        <w:tblLook w:firstColumn="1" w:firstRow="1" w:lastColumn="0" w:lastRow="0" w:noHBand="0" w:noVBand="1" w:val="04A0"/>
      </w:tblPr>
      <w:tblGrid>
        <w:gridCol w:w="3168"/>
        <w:gridCol w:w="2736"/>
        <w:gridCol w:w="1728"/>
        <w:gridCol w:w="2880"/>
      </w:tblGrid>
      <w:tr>
        <w:tc>
          <w:tcPr>
            <w:tcW w:type="dxa" w:w="3168"/>
            <w:shd w:val="clear" w:color="auto" w:fill="ECECEC"/>
            <w:tcBorders>
              <w:top w:val="single" w:sz="6" w:space="0" w:color="9A9A9A"/>
              <w:bottom w:val="single" w:sz="6" w:space="0" w:color="9A9A9A"/>
              <w:left w:val="nil"/>
              <w:right w:val="nil"/>
            </w:tcBorders>
            <w:tcMar>
              <w:top w:w="40" w:type="dxa"/>
              <w:bottom w:w="40" w:type="dxa"/>
              <w:left w:w="80" w:type="dxa"/>
              <w:right w:w="80" w:type="dxa"/>
            </w:tcMar>
          </w:tcPr>
          <w:p>
            <w:pPr>
              <w:spacing w:after="0"/>
            </w:pPr>
            <w:r>
              <w:rPr>
                <w:rFonts w:ascii="Calibri" w:hAnsi="Calibri"/>
                <w:b/>
                <w:i w:val="0"/>
                <w:color w:val="1A1A1A"/>
                <w:sz w:val="18"/>
              </w:rPr>
              <w:t>Report</w:t>
            </w:r>
          </w:p>
        </w:tc>
        <w:tc>
          <w:tcPr>
            <w:tcW w:type="dxa" w:w="2736"/>
            <w:shd w:val="clear" w:color="auto" w:fill="ECECEC"/>
            <w:tcBorders>
              <w:top w:val="single" w:sz="6" w:space="0" w:color="9A9A9A"/>
              <w:bottom w:val="single" w:sz="6" w:space="0" w:color="9A9A9A"/>
              <w:left w:val="nil"/>
              <w:right w:val="nil"/>
            </w:tcBorders>
            <w:tcMar>
              <w:top w:w="40" w:type="dxa"/>
              <w:bottom w:w="40" w:type="dxa"/>
              <w:left w:w="80" w:type="dxa"/>
              <w:right w:w="80" w:type="dxa"/>
            </w:tcMar>
          </w:tcPr>
          <w:p>
            <w:pPr>
              <w:spacing w:after="0"/>
            </w:pPr>
            <w:r>
              <w:rPr>
                <w:rFonts w:ascii="Calibri" w:hAnsi="Calibri"/>
                <w:b/>
                <w:i w:val="0"/>
                <w:color w:val="1A1A1A"/>
                <w:sz w:val="18"/>
              </w:rPr>
              <w:t>Cadence</w:t>
            </w:r>
          </w:p>
        </w:tc>
        <w:tc>
          <w:tcPr>
            <w:tcW w:type="dxa" w:w="1728"/>
            <w:shd w:val="clear" w:color="auto" w:fill="ECECEC"/>
            <w:tcBorders>
              <w:top w:val="single" w:sz="6" w:space="0" w:color="9A9A9A"/>
              <w:bottom w:val="single" w:sz="6" w:space="0" w:color="9A9A9A"/>
              <w:left w:val="nil"/>
              <w:right w:val="nil"/>
            </w:tcBorders>
            <w:tcMar>
              <w:top w:w="40" w:type="dxa"/>
              <w:bottom w:w="40" w:type="dxa"/>
              <w:left w:w="80" w:type="dxa"/>
              <w:right w:w="80" w:type="dxa"/>
            </w:tcMar>
          </w:tcPr>
          <w:p>
            <w:pPr>
              <w:spacing w:after="0"/>
            </w:pPr>
            <w:r>
              <w:rPr>
                <w:rFonts w:ascii="Calibri" w:hAnsi="Calibri"/>
                <w:b/>
                <w:i w:val="0"/>
                <w:color w:val="1A1A1A"/>
                <w:sz w:val="18"/>
              </w:rPr>
              <w:t>Length</w:t>
            </w:r>
          </w:p>
        </w:tc>
        <w:tc>
          <w:tcPr>
            <w:tcW w:type="dxa" w:w="2880"/>
            <w:shd w:val="clear" w:color="auto" w:fill="ECECEC"/>
            <w:tcBorders>
              <w:top w:val="single" w:sz="6" w:space="0" w:color="9A9A9A"/>
              <w:bottom w:val="single" w:sz="6" w:space="0" w:color="9A9A9A"/>
              <w:left w:val="nil"/>
              <w:right w:val="nil"/>
            </w:tcBorders>
            <w:tcMar>
              <w:top w:w="40" w:type="dxa"/>
              <w:bottom w:w="40" w:type="dxa"/>
              <w:left w:w="80" w:type="dxa"/>
              <w:right w:w="80" w:type="dxa"/>
            </w:tcMar>
          </w:tcPr>
          <w:p>
            <w:pPr>
              <w:spacing w:after="0"/>
            </w:pPr>
            <w:r>
              <w:rPr>
                <w:rFonts w:ascii="Calibri" w:hAnsi="Calibri"/>
                <w:b/>
                <w:i w:val="0"/>
                <w:color w:val="1A1A1A"/>
                <w:sz w:val="18"/>
              </w:rPr>
              <w:t>Owner</w:t>
            </w:r>
          </w:p>
        </w:tc>
      </w:tr>
      <w:tr>
        <w:tc>
          <w:tcPr>
            <w:tcW w:type="dxa" w:w="3168"/>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Daily pre-market</w:t>
            </w:r>
          </w:p>
        </w:tc>
        <w:tc>
          <w:tcPr>
            <w:tcW w:type="dxa" w:w="2736"/>
            <w:tcBorders>
              <w:top w:val="nil"/>
              <w:left w:val="nil"/>
              <w:right w:val="nil"/>
            </w:tcBorders>
            <w:tcMar>
              <w:top w:w="35" w:type="dxa"/>
              <w:bottom w:w="35" w:type="dxa"/>
              <w:left w:w="80" w:type="dxa"/>
              <w:right w:w="80" w:type="dxa"/>
            </w:tcMar>
          </w:tcPr>
          <w:p>
            <w:pPr>
              <w:spacing w:after="0"/>
            </w:pPr>
            <w:r>
              <w:rPr>
                <w:rFonts w:ascii="Consolas" w:hAnsi="Consolas"/>
                <w:b w:val="0"/>
                <w:i w:val="0"/>
                <w:color w:val="1A1A1A"/>
                <w:sz w:val="19"/>
              </w:rPr>
              <w:t>Trading days, pre-open</w:t>
            </w:r>
          </w:p>
        </w:tc>
        <w:tc>
          <w:tcPr>
            <w:tcW w:type="dxa" w:w="1728"/>
            <w:tcBorders>
              <w:top w:val="nil"/>
              <w:left w:val="nil"/>
              <w:right w:val="nil"/>
            </w:tcBorders>
            <w:tcMar>
              <w:top w:w="35" w:type="dxa"/>
              <w:bottom w:w="35" w:type="dxa"/>
              <w:left w:w="80" w:type="dxa"/>
              <w:right w:w="80" w:type="dxa"/>
            </w:tcMar>
          </w:tcPr>
          <w:p>
            <w:pPr>
              <w:spacing w:after="0"/>
            </w:pPr>
            <w:r>
              <w:rPr>
                <w:rFonts w:ascii="Consolas" w:hAnsi="Consolas"/>
                <w:b w:val="0"/>
                <w:i w:val="0"/>
                <w:color w:val="1A1A1A"/>
                <w:sz w:val="19"/>
              </w:rPr>
              <w:t>1 page</w:t>
            </w:r>
          </w:p>
        </w:tc>
        <w:tc>
          <w:tcPr>
            <w:tcW w:type="dxa" w:w="2880"/>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Cowork / Claude</w:t>
            </w:r>
          </w:p>
        </w:tc>
      </w:tr>
      <w:tr>
        <w:tc>
          <w:tcPr>
            <w:tcW w:type="dxa" w:w="3168"/>
            <w:shd w:val="clear" w:color="auto" w:fill="F6F6F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Weekly performance</w:t>
            </w:r>
          </w:p>
        </w:tc>
        <w:tc>
          <w:tcPr>
            <w:tcW w:type="dxa" w:w="2736"/>
            <w:shd w:val="clear" w:color="auto" w:fill="F6F6F6"/>
            <w:tcBorders>
              <w:top w:val="nil"/>
              <w:left w:val="nil"/>
              <w:right w:val="nil"/>
            </w:tcBorders>
            <w:tcMar>
              <w:top w:w="35" w:type="dxa"/>
              <w:bottom w:w="35" w:type="dxa"/>
              <w:left w:w="80" w:type="dxa"/>
              <w:right w:w="80" w:type="dxa"/>
            </w:tcMar>
          </w:tcPr>
          <w:p>
            <w:pPr>
              <w:spacing w:after="0"/>
            </w:pPr>
            <w:r>
              <w:rPr>
                <w:rFonts w:ascii="Consolas" w:hAnsi="Consolas"/>
                <w:b w:val="0"/>
                <w:i w:val="0"/>
                <w:color w:val="1A1A1A"/>
                <w:sz w:val="19"/>
              </w:rPr>
              <w:t>Every Thursday close</w:t>
            </w:r>
          </w:p>
        </w:tc>
        <w:tc>
          <w:tcPr>
            <w:tcW w:type="dxa" w:w="1728"/>
            <w:shd w:val="clear" w:color="auto" w:fill="F6F6F6"/>
            <w:tcBorders>
              <w:top w:val="nil"/>
              <w:left w:val="nil"/>
              <w:right w:val="nil"/>
            </w:tcBorders>
            <w:tcMar>
              <w:top w:w="35" w:type="dxa"/>
              <w:bottom w:w="35" w:type="dxa"/>
              <w:left w:w="80" w:type="dxa"/>
              <w:right w:w="80" w:type="dxa"/>
            </w:tcMar>
          </w:tcPr>
          <w:p>
            <w:pPr>
              <w:spacing w:after="0"/>
            </w:pPr>
            <w:r>
              <w:rPr>
                <w:rFonts w:ascii="Consolas" w:hAnsi="Consolas"/>
                <w:b w:val="0"/>
                <w:i w:val="0"/>
                <w:color w:val="1A1A1A"/>
                <w:sz w:val="19"/>
              </w:rPr>
              <w:t>2 pages</w:t>
            </w:r>
          </w:p>
        </w:tc>
        <w:tc>
          <w:tcPr>
            <w:tcW w:type="dxa" w:w="2880"/>
            <w:shd w:val="clear" w:color="auto" w:fill="F6F6F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Cowork / Claude</w:t>
            </w:r>
          </w:p>
        </w:tc>
      </w:tr>
      <w:tr>
        <w:tc>
          <w:tcPr>
            <w:tcW w:type="dxa" w:w="3168"/>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Quarterly review</w:t>
            </w:r>
          </w:p>
        </w:tc>
        <w:tc>
          <w:tcPr>
            <w:tcW w:type="dxa" w:w="2736"/>
            <w:tcBorders>
              <w:top w:val="nil"/>
              <w:left w:val="nil"/>
              <w:right w:val="nil"/>
            </w:tcBorders>
            <w:tcMar>
              <w:top w:w="35" w:type="dxa"/>
              <w:bottom w:w="35" w:type="dxa"/>
              <w:left w:w="80" w:type="dxa"/>
              <w:right w:w="80" w:type="dxa"/>
            </w:tcMar>
          </w:tcPr>
          <w:p>
            <w:pPr>
              <w:spacing w:after="0"/>
            </w:pPr>
            <w:r>
              <w:rPr>
                <w:rFonts w:ascii="Consolas" w:hAnsi="Consolas"/>
                <w:b w:val="0"/>
                <w:i w:val="0"/>
                <w:color w:val="1A1A1A"/>
                <w:sz w:val="19"/>
              </w:rPr>
              <w:t>Jan / Apr / Jul / Oct</w:t>
            </w:r>
          </w:p>
        </w:tc>
        <w:tc>
          <w:tcPr>
            <w:tcW w:type="dxa" w:w="1728"/>
            <w:tcBorders>
              <w:top w:val="nil"/>
              <w:left w:val="nil"/>
              <w:right w:val="nil"/>
            </w:tcBorders>
            <w:tcMar>
              <w:top w:w="35" w:type="dxa"/>
              <w:bottom w:w="35" w:type="dxa"/>
              <w:left w:w="80" w:type="dxa"/>
              <w:right w:w="80" w:type="dxa"/>
            </w:tcMar>
          </w:tcPr>
          <w:p>
            <w:pPr>
              <w:spacing w:after="0"/>
            </w:pPr>
            <w:r>
              <w:rPr>
                <w:rFonts w:ascii="Consolas" w:hAnsi="Consolas"/>
                <w:b w:val="0"/>
                <w:i w:val="0"/>
                <w:color w:val="1A1A1A"/>
                <w:sz w:val="19"/>
              </w:rPr>
              <w:t>4–6 pages</w:t>
            </w:r>
          </w:p>
        </w:tc>
        <w:tc>
          <w:tcPr>
            <w:tcW w:type="dxa" w:w="2880"/>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Cowork / Claude + Aaron</w:t>
            </w:r>
          </w:p>
        </w:tc>
      </w:tr>
      <w:tr>
        <w:tc>
          <w:tcPr>
            <w:tcW w:type="dxa" w:w="3168"/>
            <w:shd w:val="clear" w:color="auto" w:fill="F6F6F6"/>
            <w:tcBorders>
              <w:top w:val="nil"/>
              <w:bottom w:val="single" w:sz="4" w:space="0" w:color="CFCFCF"/>
              <w:left w:val="nil"/>
              <w:right w:val="nil"/>
            </w:tcBorders>
            <w:tcMar>
              <w:top w:w="35" w:type="dxa"/>
              <w:bottom w:w="35" w:type="dxa"/>
              <w:left w:w="80" w:type="dxa"/>
              <w:right w:w="80" w:type="dxa"/>
            </w:tcMar>
          </w:tcPr>
          <w:p>
            <w:pPr>
              <w:spacing w:after="0"/>
            </w:pPr>
            <w:r>
              <w:rPr>
                <w:rFonts w:ascii="Calibri" w:hAnsi="Calibri"/>
                <w:b w:val="0"/>
                <w:i w:val="0"/>
                <w:color w:val="1A1A1A"/>
                <w:sz w:val="19"/>
              </w:rPr>
              <w:t>IPS review</w:t>
            </w:r>
          </w:p>
        </w:tc>
        <w:tc>
          <w:tcPr>
            <w:tcW w:type="dxa" w:w="2736"/>
            <w:shd w:val="clear" w:color="auto" w:fill="F6F6F6"/>
            <w:tcBorders>
              <w:top w:val="nil"/>
              <w:bottom w:val="single" w:sz="4" w:space="0" w:color="CFCFCF"/>
              <w:left w:val="nil"/>
              <w:right w:val="nil"/>
            </w:tcBorders>
            <w:tcMar>
              <w:top w:w="35" w:type="dxa"/>
              <w:bottom w:w="35" w:type="dxa"/>
              <w:left w:w="80" w:type="dxa"/>
              <w:right w:w="80" w:type="dxa"/>
            </w:tcMar>
          </w:tcPr>
          <w:p>
            <w:pPr>
              <w:spacing w:after="0"/>
            </w:pPr>
            <w:r>
              <w:rPr>
                <w:rFonts w:ascii="Consolas" w:hAnsi="Consolas"/>
                <w:b w:val="0"/>
                <w:i w:val="0"/>
                <w:color w:val="1A1A1A"/>
                <w:sz w:val="19"/>
              </w:rPr>
              <w:t>Semi-annual or on breach</w:t>
            </w:r>
          </w:p>
        </w:tc>
        <w:tc>
          <w:tcPr>
            <w:tcW w:type="dxa" w:w="1728"/>
            <w:shd w:val="clear" w:color="auto" w:fill="F6F6F6"/>
            <w:tcBorders>
              <w:top w:val="nil"/>
              <w:bottom w:val="single" w:sz="4" w:space="0" w:color="CFCFCF"/>
              <w:left w:val="nil"/>
              <w:right w:val="nil"/>
            </w:tcBorders>
            <w:tcMar>
              <w:top w:w="35" w:type="dxa"/>
              <w:bottom w:w="35" w:type="dxa"/>
              <w:left w:w="80" w:type="dxa"/>
              <w:right w:w="80" w:type="dxa"/>
            </w:tcMar>
          </w:tcPr>
          <w:p>
            <w:pPr>
              <w:spacing w:after="0"/>
            </w:pPr>
            <w:r>
              <w:rPr>
                <w:rFonts w:ascii="Consolas" w:hAnsi="Consolas"/>
                <w:b w:val="0"/>
                <w:i w:val="0"/>
                <w:color w:val="1A1A1A"/>
                <w:sz w:val="19"/>
              </w:rPr>
              <w:t>1 page</w:t>
            </w:r>
          </w:p>
        </w:tc>
        <w:tc>
          <w:tcPr>
            <w:tcW w:type="dxa" w:w="2880"/>
            <w:shd w:val="clear" w:color="auto" w:fill="F6F6F6"/>
            <w:tcBorders>
              <w:top w:val="nil"/>
              <w:bottom w:val="single" w:sz="4" w:space="0" w:color="CFCFCF"/>
              <w:left w:val="nil"/>
              <w:right w:val="nil"/>
            </w:tcBorders>
            <w:tcMar>
              <w:top w:w="35" w:type="dxa"/>
              <w:bottom w:w="35" w:type="dxa"/>
              <w:left w:w="80" w:type="dxa"/>
              <w:right w:w="80" w:type="dxa"/>
            </w:tcMar>
          </w:tcPr>
          <w:p>
            <w:pPr>
              <w:spacing w:after="0"/>
            </w:pPr>
            <w:r>
              <w:rPr>
                <w:rFonts w:ascii="Calibri" w:hAnsi="Calibri"/>
                <w:b w:val="0"/>
                <w:i w:val="0"/>
                <w:color w:val="1A1A1A"/>
                <w:sz w:val="19"/>
              </w:rPr>
              <w:t>Aaron (sign-off)</w:t>
            </w:r>
          </w:p>
        </w:tc>
      </w:tr>
    </w:tbl>
    <w:p>
      <w:pPr>
        <w:spacing w:before="200" w:after="40"/>
      </w:pPr>
      <w:r>
        <w:rPr>
          <w:rFonts w:ascii="Calibri" w:hAnsi="Calibri"/>
          <w:b/>
          <w:i w:val="0"/>
          <w:color w:val="1A1A1A"/>
          <w:sz w:val="24"/>
          <w:spacing w:val="20"/>
        </w:rPr>
        <w:t>7. DATA SOURCING &amp; DISCLOSURE</w:t>
      </w:r>
    </w:p>
    <w:p>
      <w:pPr>
        <w:pBdr>
          <w:bottom w:val="single" w:sz="6" w:space="1" w:color="9A9A9A"/>
        </w:pBdr>
        <w:spacing w:before="40" w:after="40"/>
      </w:pPr>
    </w:p>
    <w:p>
      <w:pPr>
        <w:spacing w:after="80"/>
      </w:pPr>
      <w:r>
        <w:rPr>
          <w:rFonts w:ascii="Calibri" w:hAnsi="Calibri"/>
          <w:b w:val="0"/>
          <w:i w:val="0"/>
          <w:color w:val="1A1A1A"/>
          <w:sz w:val="20"/>
        </w:rPr>
        <w:t>Reports must label every number with one of three provenance tags:</w:t>
      </w:r>
    </w:p>
    <w:tbl>
      <w:tblPr>
        <w:tblW w:type="auto" w:w="0"/>
        <w:tblLayout w:type="fixed"/>
        <w:tblLook w:firstColumn="1" w:firstRow="1" w:lastColumn="0" w:lastRow="0" w:noHBand="0" w:noVBand="1" w:val="04A0"/>
      </w:tblPr>
      <w:tblGrid>
        <w:gridCol w:w="2160"/>
        <w:gridCol w:w="8352"/>
      </w:tblGrid>
      <w:tr>
        <w:tc>
          <w:tcPr>
            <w:tcW w:type="dxa" w:w="2160"/>
            <w:shd w:val="clear" w:color="auto" w:fill="ECECEC"/>
            <w:tcBorders>
              <w:top w:val="single" w:sz="6" w:space="0" w:color="9A9A9A"/>
              <w:bottom w:val="single" w:sz="6" w:space="0" w:color="9A9A9A"/>
              <w:left w:val="nil"/>
              <w:right w:val="nil"/>
            </w:tcBorders>
            <w:tcMar>
              <w:top w:w="40" w:type="dxa"/>
              <w:bottom w:w="40" w:type="dxa"/>
              <w:left w:w="80" w:type="dxa"/>
              <w:right w:w="80" w:type="dxa"/>
            </w:tcMar>
          </w:tcPr>
          <w:p>
            <w:pPr>
              <w:spacing w:after="0"/>
            </w:pPr>
            <w:r>
              <w:rPr>
                <w:rFonts w:ascii="Calibri" w:hAnsi="Calibri"/>
                <w:b/>
                <w:i w:val="0"/>
                <w:color w:val="1A1A1A"/>
                <w:sz w:val="18"/>
              </w:rPr>
              <w:t>Tag</w:t>
            </w:r>
          </w:p>
        </w:tc>
        <w:tc>
          <w:tcPr>
            <w:tcW w:type="dxa" w:w="8352"/>
            <w:shd w:val="clear" w:color="auto" w:fill="ECECEC"/>
            <w:tcBorders>
              <w:top w:val="single" w:sz="6" w:space="0" w:color="9A9A9A"/>
              <w:bottom w:val="single" w:sz="6" w:space="0" w:color="9A9A9A"/>
              <w:left w:val="nil"/>
              <w:right w:val="nil"/>
            </w:tcBorders>
            <w:tcMar>
              <w:top w:w="40" w:type="dxa"/>
              <w:bottom w:w="40" w:type="dxa"/>
              <w:left w:w="80" w:type="dxa"/>
              <w:right w:w="80" w:type="dxa"/>
            </w:tcMar>
          </w:tcPr>
          <w:p>
            <w:pPr>
              <w:spacing w:after="0"/>
            </w:pPr>
            <w:r>
              <w:rPr>
                <w:rFonts w:ascii="Calibri" w:hAnsi="Calibri"/>
                <w:b/>
                <w:i w:val="0"/>
                <w:color w:val="1A1A1A"/>
                <w:sz w:val="18"/>
              </w:rPr>
              <w:t>Meaning</w:t>
            </w:r>
          </w:p>
        </w:tc>
      </w:tr>
      <w:tr>
        <w:tc>
          <w:tcPr>
            <w:tcW w:type="dxa" w:w="2160"/>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SOURCED</w:t>
            </w:r>
          </w:p>
        </w:tc>
        <w:tc>
          <w:tcPr>
            <w:tcW w:type="dxa" w:w="8352"/>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Live or delayed market data retrieved at time of writing.</w:t>
            </w:r>
          </w:p>
        </w:tc>
      </w:tr>
      <w:tr>
        <w:tc>
          <w:tcPr>
            <w:tcW w:type="dxa" w:w="2160"/>
            <w:shd w:val="clear" w:color="auto" w:fill="F6F6F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CONFIRMED</w:t>
            </w:r>
          </w:p>
        </w:tc>
        <w:tc>
          <w:tcPr>
            <w:tcW w:type="dxa" w:w="8352"/>
            <w:shd w:val="clear" w:color="auto" w:fill="F6F6F6"/>
            <w:tcBorders>
              <w:top w:val="nil"/>
              <w:left w:val="nil"/>
              <w:right w:val="nil"/>
            </w:tcBorders>
            <w:tcMar>
              <w:top w:w="35" w:type="dxa"/>
              <w:bottom w:w="35" w:type="dxa"/>
              <w:left w:w="80" w:type="dxa"/>
              <w:right w:w="80" w:type="dxa"/>
            </w:tcMar>
          </w:tcPr>
          <w:p>
            <w:pPr>
              <w:spacing w:after="0"/>
            </w:pPr>
            <w:r>
              <w:rPr>
                <w:rFonts w:ascii="Calibri" w:hAnsi="Calibri"/>
                <w:b w:val="0"/>
                <w:i w:val="0"/>
                <w:color w:val="1A1A1A"/>
                <w:sz w:val="19"/>
              </w:rPr>
              <w:t>Aggregate figure provided by the user and treated as ground truth.</w:t>
            </w:r>
          </w:p>
        </w:tc>
      </w:tr>
      <w:tr>
        <w:tc>
          <w:tcPr>
            <w:tcW w:type="dxa" w:w="2160"/>
            <w:tcBorders>
              <w:top w:val="nil"/>
              <w:bottom w:val="single" w:sz="4" w:space="0" w:color="CFCFCF"/>
              <w:left w:val="nil"/>
              <w:right w:val="nil"/>
            </w:tcBorders>
            <w:tcMar>
              <w:top w:w="35" w:type="dxa"/>
              <w:bottom w:w="35" w:type="dxa"/>
              <w:left w:w="80" w:type="dxa"/>
              <w:right w:w="80" w:type="dxa"/>
            </w:tcMar>
          </w:tcPr>
          <w:p>
            <w:pPr>
              <w:spacing w:after="0"/>
            </w:pPr>
            <w:r>
              <w:rPr>
                <w:rFonts w:ascii="Calibri" w:hAnsi="Calibri"/>
                <w:b w:val="0"/>
                <w:i w:val="0"/>
                <w:color w:val="1A1A1A"/>
                <w:sz w:val="19"/>
              </w:rPr>
              <w:t>CALIBRATED</w:t>
            </w:r>
          </w:p>
        </w:tc>
        <w:tc>
          <w:tcPr>
            <w:tcW w:type="dxa" w:w="8352"/>
            <w:tcBorders>
              <w:top w:val="nil"/>
              <w:bottom w:val="single" w:sz="4" w:space="0" w:color="CFCFCF"/>
              <w:left w:val="nil"/>
              <w:right w:val="nil"/>
            </w:tcBorders>
            <w:tcMar>
              <w:top w:w="35" w:type="dxa"/>
              <w:bottom w:w="35" w:type="dxa"/>
              <w:left w:w="80" w:type="dxa"/>
              <w:right w:w="80" w:type="dxa"/>
            </w:tcMar>
          </w:tcPr>
          <w:p>
            <w:pPr>
              <w:spacing w:after="0"/>
            </w:pPr>
            <w:r>
              <w:rPr>
                <w:rFonts w:ascii="Calibri" w:hAnsi="Calibri"/>
                <w:b w:val="0"/>
                <w:i w:val="0"/>
                <w:color w:val="1A1A1A"/>
                <w:sz w:val="19"/>
              </w:rPr>
              <w:t>Position-level figure fit to reconcile with a CONFIRMED aggregate when live data is unavailable. Not a substitute for sourced data.</w:t>
            </w:r>
          </w:p>
        </w:tc>
      </w:tr>
    </w:tbl>
    <w:p>
      <w:pPr>
        <w:spacing w:after="80"/>
      </w:pPr>
      <w:r>
        <w:rPr>
          <w:rFonts w:ascii="Calibri" w:hAnsi="Calibri"/>
          <w:b w:val="0"/>
          <w:i/>
          <w:color w:val="555555"/>
          <w:sz w:val="18"/>
        </w:rPr>
        <w:t>A report that uses any CALIBRATED figure must say so, by name, in the methodology footer. Claims of alpha, attribution, or risk must never be presented as SOURCED when they depend on CALIBRATED inputs.</w:t>
      </w:r>
    </w:p>
    <w:p>
      <w:pPr>
        <w:spacing w:before="200" w:after="40"/>
      </w:pPr>
      <w:r>
        <w:rPr>
          <w:rFonts w:ascii="Calibri" w:hAnsi="Calibri"/>
          <w:b/>
          <w:i w:val="0"/>
          <w:color w:val="1A1A1A"/>
          <w:sz w:val="24"/>
          <w:spacing w:val="20"/>
        </w:rPr>
        <w:t>8. MODEL CHANGELOG</w:t>
      </w:r>
    </w:p>
    <w:p>
      <w:pPr>
        <w:pBdr>
          <w:bottom w:val="single" w:sz="6" w:space="1" w:color="9A9A9A"/>
        </w:pBdr>
        <w:spacing w:before="40" w:after="40"/>
      </w:pPr>
    </w:p>
    <w:tbl>
      <w:tblPr>
        <w:tblW w:type="auto" w:w="0"/>
        <w:tblLayout w:type="fixed"/>
        <w:tblLook w:firstColumn="1" w:firstRow="1" w:lastColumn="0" w:lastRow="0" w:noHBand="0" w:noVBand="1" w:val="04A0"/>
      </w:tblPr>
      <w:tblGrid>
        <w:gridCol w:w="1152"/>
        <w:gridCol w:w="1728"/>
        <w:gridCol w:w="7632"/>
      </w:tblGrid>
      <w:tr>
        <w:tc>
          <w:tcPr>
            <w:tcW w:type="dxa" w:w="1152"/>
            <w:shd w:val="clear" w:color="auto" w:fill="ECECEC"/>
            <w:tcBorders>
              <w:top w:val="single" w:sz="6" w:space="0" w:color="9A9A9A"/>
              <w:bottom w:val="single" w:sz="6" w:space="0" w:color="9A9A9A"/>
              <w:left w:val="nil"/>
              <w:right w:val="nil"/>
            </w:tcBorders>
            <w:tcMar>
              <w:top w:w="40" w:type="dxa"/>
              <w:bottom w:w="40" w:type="dxa"/>
              <w:left w:w="80" w:type="dxa"/>
              <w:right w:w="80" w:type="dxa"/>
            </w:tcMar>
          </w:tcPr>
          <w:p>
            <w:pPr>
              <w:spacing w:after="0"/>
            </w:pPr>
            <w:r>
              <w:rPr>
                <w:rFonts w:ascii="Calibri" w:hAnsi="Calibri"/>
                <w:b/>
                <w:i w:val="0"/>
                <w:color w:val="1A1A1A"/>
                <w:sz w:val="18"/>
              </w:rPr>
              <w:t>Version</w:t>
            </w:r>
          </w:p>
        </w:tc>
        <w:tc>
          <w:tcPr>
            <w:tcW w:type="dxa" w:w="1728"/>
            <w:shd w:val="clear" w:color="auto" w:fill="ECECEC"/>
            <w:tcBorders>
              <w:top w:val="single" w:sz="6" w:space="0" w:color="9A9A9A"/>
              <w:bottom w:val="single" w:sz="6" w:space="0" w:color="9A9A9A"/>
              <w:left w:val="nil"/>
              <w:right w:val="nil"/>
            </w:tcBorders>
            <w:tcMar>
              <w:top w:w="40" w:type="dxa"/>
              <w:bottom w:w="40" w:type="dxa"/>
              <w:left w:w="80" w:type="dxa"/>
              <w:right w:w="80" w:type="dxa"/>
            </w:tcMar>
          </w:tcPr>
          <w:p>
            <w:pPr>
              <w:spacing w:after="0"/>
            </w:pPr>
            <w:r>
              <w:rPr>
                <w:rFonts w:ascii="Calibri" w:hAnsi="Calibri"/>
                <w:b/>
                <w:i w:val="0"/>
                <w:color w:val="1A1A1A"/>
                <w:sz w:val="18"/>
              </w:rPr>
              <w:t>Date</w:t>
            </w:r>
          </w:p>
        </w:tc>
        <w:tc>
          <w:tcPr>
            <w:tcW w:type="dxa" w:w="7632"/>
            <w:shd w:val="clear" w:color="auto" w:fill="ECECEC"/>
            <w:tcBorders>
              <w:top w:val="single" w:sz="6" w:space="0" w:color="9A9A9A"/>
              <w:bottom w:val="single" w:sz="6" w:space="0" w:color="9A9A9A"/>
              <w:left w:val="nil"/>
              <w:right w:val="nil"/>
            </w:tcBorders>
            <w:tcMar>
              <w:top w:w="40" w:type="dxa"/>
              <w:bottom w:w="40" w:type="dxa"/>
              <w:left w:w="80" w:type="dxa"/>
              <w:right w:w="80" w:type="dxa"/>
            </w:tcMar>
          </w:tcPr>
          <w:p>
            <w:pPr>
              <w:spacing w:after="0"/>
            </w:pPr>
            <w:r>
              <w:rPr>
                <w:rFonts w:ascii="Calibri" w:hAnsi="Calibri"/>
                <w:b/>
                <w:i w:val="0"/>
                <w:color w:val="1A1A1A"/>
                <w:sz w:val="18"/>
              </w:rPr>
              <w:t>Change</w:t>
            </w:r>
          </w:p>
        </w:tc>
      </w:tr>
      <w:tr>
        <w:tc>
          <w:tcPr>
            <w:tcW w:type="dxa" w:w="1152"/>
            <w:tcBorders>
              <w:top w:val="nil"/>
              <w:bottom w:val="single" w:sz="4" w:space="0" w:color="CFCFCF"/>
              <w:left w:val="nil"/>
              <w:right w:val="nil"/>
            </w:tcBorders>
            <w:tcMar>
              <w:top w:w="35" w:type="dxa"/>
              <w:bottom w:w="35" w:type="dxa"/>
              <w:left w:w="80" w:type="dxa"/>
              <w:right w:w="80" w:type="dxa"/>
            </w:tcMar>
          </w:tcPr>
          <w:p>
            <w:pPr>
              <w:spacing w:after="0"/>
            </w:pPr>
            <w:r>
              <w:rPr>
                <w:rFonts w:ascii="Consolas" w:hAnsi="Consolas"/>
                <w:b w:val="0"/>
                <w:i w:val="0"/>
                <w:color w:val="1A1A1A"/>
                <w:sz w:val="19"/>
              </w:rPr>
              <w:t>1.0</w:t>
            </w:r>
          </w:p>
        </w:tc>
        <w:tc>
          <w:tcPr>
            <w:tcW w:type="dxa" w:w="1728"/>
            <w:tcBorders>
              <w:top w:val="nil"/>
              <w:bottom w:val="single" w:sz="4" w:space="0" w:color="CFCFCF"/>
              <w:left w:val="nil"/>
              <w:right w:val="nil"/>
            </w:tcBorders>
            <w:tcMar>
              <w:top w:w="35" w:type="dxa"/>
              <w:bottom w:w="35" w:type="dxa"/>
              <w:left w:w="80" w:type="dxa"/>
              <w:right w:w="80" w:type="dxa"/>
            </w:tcMar>
          </w:tcPr>
          <w:p>
            <w:pPr>
              <w:spacing w:after="0"/>
            </w:pPr>
            <w:r>
              <w:rPr>
                <w:rFonts w:ascii="Consolas" w:hAnsi="Consolas"/>
                <w:b w:val="0"/>
                <w:i w:val="0"/>
                <w:color w:val="1A1A1A"/>
                <w:sz w:val="19"/>
              </w:rPr>
              <w:t>2026-04-21</w:t>
            </w:r>
          </w:p>
        </w:tc>
        <w:tc>
          <w:tcPr>
            <w:tcW w:type="dxa" w:w="7632"/>
            <w:tcBorders>
              <w:top w:val="nil"/>
              <w:bottom w:val="single" w:sz="4" w:space="0" w:color="CFCFCF"/>
              <w:left w:val="nil"/>
              <w:right w:val="nil"/>
            </w:tcBorders>
            <w:tcMar>
              <w:top w:w="35" w:type="dxa"/>
              <w:bottom w:w="35" w:type="dxa"/>
              <w:left w:w="80" w:type="dxa"/>
              <w:right w:w="80" w:type="dxa"/>
            </w:tcMar>
          </w:tcPr>
          <w:p>
            <w:pPr>
              <w:spacing w:after="0"/>
            </w:pPr>
            <w:r>
              <w:rPr>
                <w:rFonts w:ascii="Calibri" w:hAnsi="Calibri"/>
                <w:b w:val="0"/>
                <w:i w:val="0"/>
                <w:color w:val="1A1A1A"/>
                <w:sz w:val="19"/>
              </w:rPr>
              <w:t>Initial IPS. Codifies mandate, constraints, risk limits, rebalance policy, reporting cadence, and data-provenance tags. Introduces pre-mortem and confidence-rating discipline. Retires navy/gold report format in favor of grayscale institutional layout.</w:t>
            </w:r>
          </w:p>
        </w:tc>
      </w:tr>
    </w:tbl>
    <w:p>
      <w:pPr>
        <w:pBdr>
          <w:bottom w:val="single" w:sz="8" w:space="1" w:color="9A9A9A"/>
        </w:pBdr>
        <w:spacing w:before="40" w:after="40"/>
      </w:pPr>
    </w:p>
    <w:p>
      <w:pPr>
        <w:spacing w:before="120" w:after="0"/>
      </w:pPr>
      <w:r>
        <w:rPr>
          <w:rFonts w:ascii="Calibri" w:hAnsi="Calibri"/>
          <w:b w:val="0"/>
          <w:i w:val="0"/>
          <w:color w:val="555555"/>
          <w:sz w:val="18"/>
        </w:rPr>
        <w:t>Approved: ____________________________      Date: __________</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