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A1A1A"/>
          <w:sz w:val="28"/>
        </w:rPr>
        <w:t>DAILY PRE-MARKET</w:t>
      </w:r>
    </w:p>
    <w:p>
      <w:r>
        <w:rPr>
          <w:rFonts w:ascii="Calibri" w:hAnsi="Calibri"/>
          <w:b/>
          <w:i w:val="0"/>
          <w:color w:val="1A1A1A"/>
          <w:sz w:val="22"/>
        </w:rPr>
        <w:t>WM Growth Portfolio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 w:val="0"/>
          <w:i/>
          <w:color w:val="707070"/>
          <w:sz w:val="18"/>
        </w:rPr>
        <w:t>2026-05-04   |   IPS v1.0   |   Report v2.0 (grayscale institutional)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1. MARKET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600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Indicator</w:t>
            </w:r>
          </w:p>
        </w:tc>
        <w:tc>
          <w:tcPr>
            <w:tcW w:type="dxa" w:w="201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Level</w:t>
            </w:r>
          </w:p>
        </w:tc>
        <w:tc>
          <w:tcPr>
            <w:tcW w:type="dxa" w:w="3312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Move</w:t>
            </w:r>
          </w:p>
        </w:tc>
        <w:tc>
          <w:tcPr>
            <w:tcW w:type="dxa" w:w="1440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Tag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S&amp;P 500 (May 1 close, record)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7,230.12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+0.29% d/d ; record close</w:t>
            </w:r>
          </w:p>
        </w:tc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Nasdaq Composite (May 1 close, record)</w:t>
            </w:r>
          </w:p>
        </w:tc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25,114.44</w:t>
            </w:r>
          </w:p>
        </w:tc>
        <w:tc>
          <w:tcPr>
            <w:tcW w:type="dxa" w:w="3312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+0.89% d/d ; record close</w:t>
            </w:r>
          </w:p>
        </w:tc>
        <w:tc>
          <w:tcPr>
            <w:tcW w:type="dxa" w:w="144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Dow Jones (May 1 close)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49,499.27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-0.31% d/d</w:t>
            </w:r>
          </w:p>
        </w:tc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S&amp;P 500 (Mon pre-mkt)</w:t>
            </w:r>
          </w:p>
        </w:tc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7,252.12</w:t>
            </w:r>
          </w:p>
        </w:tc>
        <w:tc>
          <w:tcPr>
            <w:tcW w:type="dxa" w:w="3312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+0.60%</w:t>
            </w:r>
          </w:p>
        </w:tc>
        <w:tc>
          <w:tcPr>
            <w:tcW w:type="dxa" w:w="144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Nasdaq (Mon pre-mkt)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25,162.72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+1.09%</w:t>
            </w:r>
          </w:p>
        </w:tc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VIX</w:t>
            </w:r>
          </w:p>
        </w:tc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16.78</w:t>
            </w:r>
          </w:p>
        </w:tc>
        <w:tc>
          <w:tcPr>
            <w:tcW w:type="dxa" w:w="3312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-0.65%</w:t>
            </w:r>
          </w:p>
        </w:tc>
        <w:tc>
          <w:tcPr>
            <w:tcW w:type="dxa" w:w="144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VIX futures (May)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19.76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elevated vs spot</w:t>
            </w:r>
          </w:p>
        </w:tc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WTI crude</w:t>
            </w:r>
          </w:p>
        </w:tc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~$101.70</w:t>
            </w:r>
          </w:p>
        </w:tc>
        <w:tc>
          <w:tcPr>
            <w:tcW w:type="dxa" w:w="3312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-0.24% d/d ; -3 to -4% w/w</w:t>
            </w:r>
          </w:p>
        </w:tc>
        <w:tc>
          <w:tcPr>
            <w:tcW w:type="dxa" w:w="144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Fed funds target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3.50-3.75%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FOMC HOLD (Apr 29; 8-4 dissent)</w:t>
            </w:r>
          </w:p>
        </w:tc>
        <w:tc>
          <w:tcPr>
            <w:tcW w:type="dxa" w:w="14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SOURCED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Friday closed April's record-setting run with another record on the S&amp;P and Nasdaq. April was the strongest month for U.S. equities since November 2020. Iran sent an updated peace proposal to mediators in Pakistan over the weekend; oil softened on optimism while Hormuz restrictions persist. Berkshire's annual meeting Saturday was the first under CEO Greg Abel; Q1 op earnings +18%, cash hoard a record $397.4B. PLTR Q1 prints tonight AMC — the only held-binary catalyst this session.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2. SCAN 1 — HOLDINGS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Ticker</w:t>
            </w:r>
          </w:p>
        </w:tc>
        <w:tc>
          <w:tcPr>
            <w:tcW w:type="dxa" w:w="100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Wt %</w:t>
            </w:r>
          </w:p>
        </w:tc>
        <w:tc>
          <w:tcPr>
            <w:tcW w:type="dxa" w:w="676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Headline / Catalyst</w:t>
            </w:r>
          </w:p>
        </w:tc>
        <w:tc>
          <w:tcPr>
            <w:tcW w:type="dxa" w:w="129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Action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PLTR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prints TONIGHT (AMC ~5pm ET). Cons: rev $1.54B (+74%), EPS $0.28 (+115%); options imply 10.55% move; Polymarket 96% odds of EPS beat; PLTR -20% YTD into print.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HOLD-CATALYST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XOM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(May 1): ex-items EPS $1.16, ex-timing $2.09; net inc -45% YoY on $4B Iran-hedge timing loss; Q2 div $1.03 declared. Stock muted Fri on Iran peace-proposal headlines.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EOG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prints Wed May 6 AMC. WTI ~$101.70 (-3 to -4% w/w) still supports rebuilt 2.5%.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MSFT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4.0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Q3 FY26 beat (Apr 29): rev $82.9B (+18%), Azure +40%, AI ARR $37B (+123%); FY26 capex $190B (+61%). MSFT +1.62% Apr 30.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META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4.5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beat (Apr 29); capex raised to $125-145B. META $608.57 (-0.55%) Apr 30; -7 to -10% on the print week.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GOOGL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(Apr 29) decisive beat; GCP +28%, op margin &gt;17%; compute-constrained. GOOGL $385.58 (+0.20%) Apr 30; +8% earlier on print.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AMZN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5.5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(Apr 29) beat; AWS +28% (15-quarter high); chips $20B run-rate. AMZN $268.36 (+1.25%) Apr 30.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AAPL (read-thru)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Apple Q2 record (Apr 30): rev $111.2B (+17%); Services $30.9B record; +$100B buyback. +3% Fri. Not held; constructive for mega-cap tech multiple.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WATCH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NVDA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6.5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NVDA $198.61 (-0.48%) Apr 30; AI capex digestion narrative still active. Earnings May 20. At IPS single-name cap.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LLY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4.5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(Apr 30) big beat: EPS $8.55 vs $6.85 cons; FY26 guide $82-85B. Stock +9% Apr 30. Add trigger (&lt;$920) overrun.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ABBV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Q1 (Apr 30) beat: Skyrizi $4.48B (+30.9%); Rinvoq $2.12B (+23.3%); FY EPS $14.08-14.28. +3.5% Apr 30.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Q2 (Apr 28) beat: $11.2B rev (+17%), EPS $3.31, $20B buyback. Pullback add watch only via trim funding.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PANW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4.0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OpenAI security-feature overhang persists; PANW AI Gateway + Portkey acquisition announced Apr 30. [SOURCED]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CRWD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Recovered to ~$446 from $361 low; Mizuho prior upgrade. Sector overhang remains.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UNH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  <w:tc>
          <w:tcPr>
            <w:tcW w:type="dxa" w:w="67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JPM PT $420 (from $389); Erste upgrade to Buy. Tracker carrying $510 vs market ~$370 — reconciliation flagged. [SOURCED/FLAG]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HOLD/FLAG</w:t>
            </w:r>
          </w:p>
        </w:tc>
      </w:tr>
      <w:tr>
        <w:tc>
          <w:tcPr>
            <w:tcW w:type="dxa" w:w="172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Other (JPM/AVGO/ORCL/MU/TSM/COST/DASH/NEE/NFLX/INTC/QQQ/VUG/SCHD)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various</w:t>
            </w:r>
          </w:p>
        </w:tc>
        <w:tc>
          <w:tcPr>
            <w:tcW w:type="dxa" w:w="67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 new catalysts over the weekend. INTC +20%+ since Apr 24 entry. [SOURCED]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HOLD</w:t>
            </w:r>
          </w:p>
        </w:tc>
      </w:tr>
    </w:tbl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3. SCAN 2 — WATCHLIST OPPORTUNITIES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No new entry today. Cash at floor; PLTR binary tonight; no triggered entries among watchlist. Three reviewed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00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Ticker</w:t>
            </w:r>
          </w:p>
        </w:tc>
        <w:tc>
          <w:tcPr>
            <w:tcW w:type="dxa" w:w="864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Conf.</w:t>
            </w:r>
          </w:p>
        </w:tc>
        <w:tc>
          <w:tcPr>
            <w:tcW w:type="dxa" w:w="864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Size</w:t>
            </w:r>
          </w:p>
        </w:tc>
        <w:tc>
          <w:tcPr>
            <w:tcW w:type="dxa" w:w="244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Entry trigger</w:t>
            </w:r>
          </w:p>
        </w:tc>
        <w:tc>
          <w:tcPr>
            <w:tcW w:type="dxa" w:w="100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Px stop</w:t>
            </w:r>
          </w:p>
        </w:tc>
        <w:tc>
          <w:tcPr>
            <w:tcW w:type="dxa" w:w="201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Thesis stop</w:t>
            </w:r>
          </w:p>
        </w:tc>
        <w:tc>
          <w:tcPr>
            <w:tcW w:type="dxa" w:w="2592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Pre-mortem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SPOT</w:t>
            </w:r>
          </w:p>
        </w:tc>
        <w:tc>
          <w:tcPr>
            <w:tcW w:type="dxa" w:w="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</w:t>
            </w:r>
          </w:p>
        </w:tc>
        <w:tc>
          <w:tcPr>
            <w:tcW w:type="dxa" w:w="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1.5%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Re-trigger only on close &lt;$650 (Apr 28 print: EPS beat, ad-rev miss invalidated original spirit).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$640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Two consecutive quarters of premium-sub net-add deceleration</w:t>
            </w:r>
          </w:p>
        </w:tc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Wrong if ad-tier monetization is structurally impaired and FCF disappointment compounds.</w:t>
            </w:r>
          </w:p>
        </w:tc>
      </w:tr>
      <w:tr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ARM</w:t>
            </w:r>
          </w:p>
        </w:tc>
        <w:tc>
          <w:tcPr>
            <w:tcW w:type="dxa" w:w="864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864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1.0%</w:t>
            </w:r>
          </w:p>
        </w:tc>
        <w:tc>
          <w:tcPr>
            <w:tcW w:type="dxa" w:w="244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Post-May 6 print: enter only if revenue beats by &gt;5% AND stock -3 to -8% on day.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10% below post-print close</w:t>
            </w:r>
          </w:p>
        </w:tc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Royalty rev growth &lt;15% in next 2 quarters</w:t>
            </w:r>
          </w:p>
        </w:tc>
        <w:tc>
          <w:tcPr>
            <w:tcW w:type="dxa" w:w="2592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Wrong if 270x P/E re-rates lower regardless of earnings; risk/reward asymmetric pre-print.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MDB</w:t>
            </w:r>
          </w:p>
        </w:tc>
        <w:tc>
          <w:tcPr>
            <w:tcW w:type="dxa" w:w="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1.0%</w:t>
            </w:r>
          </w:p>
        </w:tc>
        <w:tc>
          <w:tcPr>
            <w:tcW w:type="dxa" w:w="24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BofA PT $500. Trigger: two consecutive quarters of accelerating revenue growth. No print this week.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10% below entry</w:t>
            </w:r>
          </w:p>
        </w:tc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AI-modernization story slows</w:t>
            </w:r>
          </w:p>
        </w:tc>
        <w:tc>
          <w:tcPr>
            <w:tcW w:type="dxa" w:w="2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Wrong if cloud-database competitive intensity (TSM, GOOGL) compresses MDB margin.</w:t>
            </w:r>
          </w:p>
        </w:tc>
      </w:tr>
    </w:tbl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4. CASH RECOMMENDATION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Pre-action cash 15.0% [CONFIRMED via Holdings tracker]. At hard floor. Recommendation: HOLD 15.0% into PLTR print tonight. Rationale: PLTR is a held-3.0% binary catalyst with a 10.55% options-implied move; AMD prints Tue AMC; April capped a +10.4% S&amp;P month and indices opened May at fresh records — the asymmetry favors keeping reactive capacity over chasing record highs into binaries. Cash deployment is conditioned on a thesis-driven exit or a &gt;5% pullback in a held name post-print.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5. PENDING CATALYSTS (NEXT 5 SESSIONS)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316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Item</w:t>
            </w:r>
          </w:p>
        </w:tc>
        <w:tc>
          <w:tcPr>
            <w:tcW w:type="dxa" w:w="633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Status / read-through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4 (today, AMC)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PLTR Q1 print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BINARY held catalyst. Options imply 10.55% move; cons rev $1.54B / EPS $0.28. Hold 3.0% into print; reactive Tue.</w:t>
            </w:r>
          </w:p>
        </w:tc>
      </w:tr>
      <w:tr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5 (Tue, AMC)</w:t>
            </w:r>
          </w:p>
        </w:tc>
        <w:tc>
          <w:tcPr>
            <w:tcW w:type="dxa" w:w="31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AMD Q1 print</w:t>
            </w:r>
          </w:p>
        </w:tc>
        <w:tc>
          <w:tcPr>
            <w:tcW w:type="dxa" w:w="633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AI-semis read-through for AVGO/NVDA/MU/TSM; not held directly.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5 (Tue, AMC)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PFE / PYPL / EA / Arista / SMCI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Cluster prints; no held overlap. SMCI/Arista relevant for AI-build read.</w:t>
            </w:r>
          </w:p>
        </w:tc>
      </w:tr>
      <w:tr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5 (Tue, AMC)</w:t>
            </w:r>
          </w:p>
        </w:tc>
        <w:tc>
          <w:tcPr>
            <w:tcW w:type="dxa" w:w="31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Occidental (OXY) Q1</w:t>
            </w:r>
          </w:p>
        </w:tc>
        <w:tc>
          <w:tcPr>
            <w:tcW w:type="dxa" w:w="633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Energy read-through for XOM/EOG.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6 (Wed, AMC)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EOG Q1 print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Held 2.5%. WTI regime softer but supportive. Hold into print.</w:t>
            </w:r>
          </w:p>
        </w:tc>
      </w:tr>
      <w:tr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6 (Wed, AMC)</w:t>
            </w:r>
          </w:p>
        </w:tc>
        <w:tc>
          <w:tcPr>
            <w:tcW w:type="dxa" w:w="31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ARM Q4 FY26</w:t>
            </w:r>
          </w:p>
        </w:tc>
        <w:tc>
          <w:tcPr>
            <w:tcW w:type="dxa" w:w="633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Watchlist; defer entry until after print + reaction.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8 (Fri, BMO)</w:t>
            </w:r>
          </w:p>
        </w:tc>
        <w:tc>
          <w:tcPr>
            <w:tcW w:type="dxa" w:w="31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April NFP + unemployment</w:t>
            </w:r>
          </w:p>
        </w:tc>
        <w:tc>
          <w:tcPr>
            <w:tcW w:type="dxa" w:w="63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Wage and participation data; informs FOMC pass-through narrative.</w:t>
            </w:r>
          </w:p>
        </w:tc>
      </w:tr>
      <w:tr>
        <w:tc>
          <w:tcPr>
            <w:tcW w:type="dxa" w:w="201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May 20</w:t>
            </w:r>
          </w:p>
        </w:tc>
        <w:tc>
          <w:tcPr>
            <w:tcW w:type="dxa" w:w="316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NVDA Q1 print</w:t>
            </w:r>
          </w:p>
        </w:tc>
        <w:tc>
          <w:tcPr>
            <w:tcW w:type="dxa" w:w="633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Position at IPS single-name cap; binary event ahead.</w:t>
            </w:r>
          </w:p>
        </w:tc>
      </w:tr>
    </w:tbl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6. RECOMMENDED WEIGHT CHANGES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No weight changes today. 27 positions + 15.0% cash = 100.0%. PLTR Q1 prints tonight AMC — held position 3.0%, options-implied 10.55% move, no pre-event change. Cash at hard 15% floor preserves reactive capacity for any post-PLTR or post-AMD repositioning Tuesday. Pre-mortem on hold-into-print: wrong if PLTR misses on either revenue OR FY26 guide AND stock breaks below the 50-day moving average post-print — in that case trim 0.5% to 2.5% Tuesday open and rebuild cash to 15.5%.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7. FULL PORTFOLIO — CURRENT WEIGHTS [CONFIRMED]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7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1296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Ticker</w:t>
            </w:r>
          </w:p>
        </w:tc>
        <w:tc>
          <w:tcPr>
            <w:tcW w:type="dxa" w:w="6480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Sector / Theme</w:t>
            </w:r>
          </w:p>
        </w:tc>
        <w:tc>
          <w:tcPr>
            <w:tcW w:type="dxa" w:w="1008"/>
            <w:vAlign w:val="center"/>
            <w:shd w:val="clear" w:color="auto" w:fill="ECECE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Wt %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NVDA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AI Infrastructure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6.5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AMZN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Cloud / E-Commerce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5.5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META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Communication Services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LLY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Healthcare — Pharmaceuticals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JPM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Financials — Banking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AVGO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Semiconductors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MSFT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Enterprise Software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PANW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Cybersecurity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4.0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QQQ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ETF — Nasdaq-100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ORCL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Cloud Database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GOOGL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Search / Cloud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PLTR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AI Software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UNH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Healthcare — Managed Care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14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Financials — Payments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XOM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Energy — Integrated Oil &amp; Gas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TSM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Foundry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3.0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VUG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ETF — Large-Cap Growth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18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SCHD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ETF — Dividend / Income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MU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Memory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EOG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Energy — E&amp;P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COST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Consumer Staples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22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DASH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Consumer Discretionary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NEE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Utilities — Renewables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2.0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24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ABBV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Healthcare — Biotech / Pharma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NFLX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Communication Services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26</w:t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CRWD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Cybersecurity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INTC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Technology — Semiconductors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1.5</w:t>
            </w:r>
          </w:p>
        </w:tc>
      </w:tr>
      <w:tr>
        <w:tc>
          <w:tcPr>
            <w:tcW w:type="dxa" w:w="57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CASH</w:t>
            </w:r>
          </w:p>
        </w:tc>
        <w:tc>
          <w:tcPr>
            <w:tcW w:type="dxa" w:w="6480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Cash &amp; Equivalents</w:t>
            </w:r>
          </w:p>
        </w:tc>
        <w:tc>
          <w:tcPr>
            <w:tcW w:type="dxa" w:w="1008"/>
            <w:vAlign w:val="center"/>
            <w:shd w:val="clear" w:color="auto" w:fill="F6F6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15.0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TOTAL</w:t>
            </w:r>
          </w:p>
        </w:tc>
        <w:tc>
          <w:tcPr>
            <w:tcW w:type="dxa" w:w="64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27 positions + cash</w:t>
            </w:r>
          </w:p>
        </w:tc>
        <w:tc>
          <w:tcPr>
            <w:tcW w:type="dxa" w:w="10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100.0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/>
          <w:color w:val="1A1A1A"/>
          <w:sz w:val="20"/>
        </w:rPr>
        <w:t>IPS check: max single name 6.5% (NVDA) ≤ 7.0% cap; max ETF 3.5% (QQQ) ≤ 5.0% cap; Technology sector 33.5% ≤ 35.0% cap; cash 15.0% inside 10–20% band; no leverage / options / shorts.</w:t>
      </w:r>
    </w:p>
    <w:p>
      <w:pPr>
        <w:pBdr>
          <w:bottom w:val="single" w:sz="6" w:space="1" w:color="BFBFBF"/>
        </w:pBdr>
      </w:pPr>
      <w:r>
        <w:rPr>
          <w:rFonts w:ascii="Calibri" w:hAnsi="Calibri"/>
          <w:b/>
          <w:i w:val="0"/>
          <w:color w:val="1A1A1A"/>
          <w:sz w:val="22"/>
        </w:rPr>
        <w:t>8. SOURCES &amp; METHODOLOGY</w:t>
      </w:r>
    </w:p>
    <w:p>
      <w:pPr>
        <w:spacing w:after="40"/>
      </w:pPr>
      <w:r>
        <w:rPr>
          <w:rFonts w:ascii="Calibri" w:hAnsi="Calibri"/>
          <w:b w:val="0"/>
          <w:i/>
          <w:color w:val="707070"/>
          <w:sz w:val="16"/>
        </w:rPr>
        <w:t>Market levels SOURCED from TheStreet, CNBC, Yahoo Finance, Motley Fool live coverage (May 1 - May 4). Earnings figures SOURCED from issuer IR press releases and CNBC/Yahoo/TipRanks for AAPL, XOM/CVX, BRK, and PLTR consensus. Oil prices SOURCED from CNBC and Tradingeconomics. Berkshire annual meeting details SOURCED from CNBC and CNN Business (May 2-3). Position weights CONFIRMED via the Holdings sheet of WM_Growth_Portfolio_Apr2026.xlsx (read at write time). No CALIBRATED figures used.</w:t>
      </w:r>
    </w:p>
    <w:p>
      <w:pPr>
        <w:spacing w:after="40"/>
      </w:pPr>
      <w:r>
        <w:rPr>
          <w:rFonts w:ascii="Calibri" w:hAnsi="Calibri"/>
          <w:b w:val="0"/>
          <w:i/>
          <w:color w:val="707070"/>
          <w:sz w:val="16"/>
        </w:rPr>
        <w:t>Provenance — every figure tagged SOURCED / CONFIRMED. Recommendations carry confidence + size + entry + price stop + thesis stop + pre-mortem (per IPS). IPS hard limits enforced (single ≤7%, ETF ≤5%, sector ≤35%, cash 10–20%, no leverage/options/shorts).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