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cs="Calibri"/>
          <w:b/>
          <w:i w:val="0"/>
          <w:color w:val="1F4E79"/>
          <w:sz w:val="36"/>
        </w:rPr>
        <w:t>DAILY PRE-MARKET PORTFOLIO REPORT</w:t>
      </w:r>
    </w:p>
    <w:p>
      <w:pPr>
        <w:spacing w:before="0" w:after="40"/>
        <w:jc w:val="center"/>
      </w:pPr>
      <w:r>
        <w:rPr>
          <w:rFonts w:ascii="Calibri" w:hAnsi="Calibri" w:cs="Calibri"/>
          <w:b w:val="0"/>
          <w:i/>
          <w:sz w:val="22"/>
        </w:rPr>
        <w:t>Long-Term Growth Portfolio  |  Active Wealth Management</w:t>
      </w:r>
    </w:p>
    <w:p>
      <w:pPr>
        <w:spacing w:before="0" w:after="160"/>
        <w:jc w:val="center"/>
      </w:pPr>
      <w:r>
        <w:rPr>
          <w:rFonts w:ascii="Calibri" w:hAnsi="Calibri" w:cs="Calibri"/>
          <w:b w:val="0"/>
          <w:i w:val="0"/>
          <w:color w:val="555555"/>
          <w:sz w:val="20"/>
        </w:rPr>
        <w:t>Report Date: Thursday, May 7, 2026  |  Benchmark: S&amp;P 500  |  Horizon: Long-Term Growth</w:t>
      </w:r>
    </w:p>
    <w:p>
      <w:pPr>
        <w:pStyle w:val="Heading1"/>
        <w:spacing w:before="200" w:after="80"/>
      </w:pPr>
      <w:r>
        <w:rPr>
          <w:rFonts w:ascii="Calibri" w:hAnsi="Calibri" w:cs="Calibri"/>
          <w:b/>
          <w:i w:val="0"/>
          <w:color w:val="365F91"/>
          <w:sz w:val="28"/>
        </w:rPr>
        <w:t>1. Market Snapshot — Pre-Market / Intraday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Indicator</w:t>
            </w:r>
          </w:p>
        </w:tc>
        <w:tc>
          <w:tcPr>
            <w:tcW w:type="dxa" w:w="2880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2304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Δ vs Prior</w:t>
            </w:r>
          </w:p>
        </w:tc>
        <w:tc>
          <w:tcPr>
            <w:tcW w:type="dxa" w:w="3168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Signal</w:t>
            </w:r>
          </w:p>
        </w:tc>
      </w:tr>
      <w:tr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S&amp;P 500</w:t>
            </w:r>
          </w:p>
        </w:tc>
        <w:tc>
          <w:tcPr>
            <w:tcW w:type="dxa" w:w="288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7,365.12 (Wed close); +0.10% intraday Thu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+1.46% Wed (record)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Records on tape; Thu consolidating into NFP</w:t>
            </w:r>
          </w:p>
        </w:tc>
      </w:tr>
      <w:tr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Nasdaq Composite</w:t>
            </w:r>
          </w:p>
        </w:tc>
        <w:tc>
          <w:tcPr>
            <w:tcW w:type="dxa" w:w="288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25,838.94 (Wed close); +0.13% intraday Thu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+2.02% Wed (record)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AI-capex digestion; semis lead</w:t>
            </w:r>
          </w:p>
        </w:tc>
      </w:tr>
      <w:tr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Dow Jones Industrial</w:t>
            </w:r>
          </w:p>
        </w:tc>
        <w:tc>
          <w:tcPr>
            <w:tcW w:type="dxa" w:w="288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49,910.59 (Wed close); +0.30% intraday Thu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+1.24% (+612 pts) Wed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Cyclicals supported by oil pullback</w:t>
            </w:r>
          </w:p>
        </w:tc>
      </w:tr>
      <w:tr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Russell 2000</w:t>
            </w:r>
          </w:p>
        </w:tc>
        <w:tc>
          <w:tcPr>
            <w:tcW w:type="dxa" w:w="288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+1.47% intraday Thu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Small-caps outperforming on rate-cut hopes</w:t>
            </w:r>
          </w:p>
        </w:tc>
      </w:tr>
      <w:tr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VIX</w:t>
            </w:r>
          </w:p>
        </w:tc>
        <w:tc>
          <w:tcPr>
            <w:tcW w:type="dxa" w:w="288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Mid-teens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Stable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Below 20 — benign; no defensive trigger</w:t>
            </w:r>
          </w:p>
        </w:tc>
      </w:tr>
      <w:tr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10Y Treasury Yield</w:t>
            </w:r>
          </w:p>
        </w:tc>
        <w:tc>
          <w:tcPr>
            <w:tcW w:type="dxa" w:w="288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~4.1% (est.)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Modestly elevated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Fed hold 3.50–3.75%; one cut projected 2026</w:t>
            </w:r>
          </w:p>
        </w:tc>
      </w:tr>
      <w:tr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WTI Crude</w:t>
            </w:r>
          </w:p>
        </w:tc>
        <w:tc>
          <w:tcPr>
            <w:tcW w:type="dxa" w:w="288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~$95 (after intraday low $88.66, -13.3%)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Wed -6.3% to $96.21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&lt;$90 trim trigger TOUCHED INTRADAY only</w:t>
            </w:r>
          </w:p>
        </w:tc>
      </w:tr>
      <w:tr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Brent Crude</w:t>
            </w:r>
          </w:p>
        </w:tc>
        <w:tc>
          <w:tcPr>
            <w:tcW w:type="dxa" w:w="288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~$97.9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Thu -3.3%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Iran ceasefire MOU narrative continues</w:t>
            </w:r>
          </w:p>
        </w:tc>
      </w:tr>
    </w:tbl>
    <w:p>
      <w:pPr>
        <w:spacing w:before="80" w:after="120"/>
      </w:pPr>
      <w:r>
        <w:rPr>
          <w:rFonts w:ascii="Calibri" w:hAnsi="Calibri" w:cs="Calibri"/>
          <w:b/>
          <w:i w:val="0"/>
          <w:sz w:val="20"/>
        </w:rPr>
        <w:t xml:space="preserve">Macro lens: </w:t>
      </w:r>
      <w:r>
        <w:rPr>
          <w:rFonts w:ascii="Calibri" w:hAnsi="Calibri" w:cs="Calibri"/>
          <w:b w:val="0"/>
          <w:i w:val="0"/>
          <w:sz w:val="20"/>
        </w:rPr>
        <w:t>Records on Wed across S&amp;P / Nasdaq / Dow on US-Iran ceasefire MOU + AI capex spillover from AMD beat. Thu open consolidating; Russell 2000 +1.47% the relative leader. WTI traded a violent intraday range — low $88.66 (-13.3%) before stabilizing &gt;$95 — bringing the held-energy &lt;$90 sustained-close trim trigger into immediate focus. NFP Fri 8:30 ET (cons. 65–120k vs 178k prior) is the next focal point. Provenance tags: SOURCED for live levels; CONFIRMED for tracker weights.</w:t>
      </w:r>
    </w:p>
    <w:p>
      <w:pPr>
        <w:pStyle w:val="Heading1"/>
        <w:spacing w:before="200" w:after="80"/>
      </w:pPr>
      <w:r>
        <w:rPr>
          <w:rFonts w:ascii="Calibri" w:hAnsi="Calibri" w:cs="Calibri"/>
          <w:b/>
          <w:i w:val="0"/>
          <w:color w:val="365F91"/>
          <w:sz w:val="28"/>
        </w:rPr>
        <w:t>2. Scan 1 — Holdings Review (Affected Names)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3600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Headline / Trigger</w:t>
            </w:r>
          </w:p>
        </w:tc>
        <w:tc>
          <w:tcPr>
            <w:tcW w:type="dxa" w:w="2016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1296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PLTR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Argus upgrade to Buy (raised PT) post May 4 beat-and-raise; +3.08% intraday May 7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TradingKey (May 7); Motley Fool (May 6)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POSITIVE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HOLD 3.0% — no add capacity (cash at floor)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NVDA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Corning AI-infra partnership (3 NC/TX facilities); +5% on May 6; Q1 May 20 AMC whisper $80–82B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Motley Fool (May 7); Yahoo (May 6)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POSITIVE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HOLD 6.5% — at IPS single-name cap proximity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AVGO / TSM / MU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ARM disclosed insufficient supply for ~$1B AGI-CPU demand → foundry / memory tightness signal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ARM IR (May 6); TradingKey (May 7)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POSITIVE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HOLD 4.0% / 3.0% / 2.5%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XOM / EOG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WTI intraday low $88.66 (-13.3%) before stabilizing &gt;$95; &lt;$90 sustained-close trim NOT confirmed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FXDailyReport, CNBC (May 7)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WATCH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HOLD 3.0% / 2.5% — trim trigger watch elevated; act only on sustained close &lt;$90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UNH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Last $364.81 (range $358.25–$368.54); tracker carry $510 reconciliation pending 3rd session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Yahoo Finance (May 7)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FLAG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HOLD 3.0% — flag price-vs-carry reconciliation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PANW / CRWD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OpenAI in-platform security feature overhang persists from Apr 30 disclosure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Internal (May 6–7)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WATCH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HOLD 4.0% / 1.5% — thesis intact; watch reaction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LLY / ABBV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PFE Q1 read-through neutral-positive for diversified pharma; LLY post-Apr 30 stable +9%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CNBC, Yahoo (May 5–7)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NEUTRAL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HOLD 4.5% / 1.5%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JPM / V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Both clear of Q1 / Q2 prints; rate-path read tied to NFP Fri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Internal (May 7)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NEUTRAL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HOLD 4.5% / 3.0%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INTC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Post Apr 24 entry; no new catalyst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Internal (May 7)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NEUTRAL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HOLD 1.5%</w:t>
            </w:r>
          </w:p>
        </w:tc>
      </w:tr>
      <w:tr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ARM (read-through)</w:t>
            </w:r>
          </w:p>
        </w:tc>
        <w:tc>
          <w:tcPr>
            <w:tcW w:type="dxa" w:w="360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Q4 beat both lines but stock -7.3% on supply-cap miss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ARM IR (May 6); Yahoo (May 7)</w:t>
            </w:r>
          </w:p>
        </w:tc>
        <w:tc>
          <w:tcPr>
            <w:tcW w:type="dxa" w:w="12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NEUTRAL (not held)</w:t>
            </w:r>
          </w:p>
        </w:tc>
        <w:tc>
          <w:tcPr>
            <w:tcW w:type="dxa" w:w="216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Read-through positive for foundry/memory complex</w:t>
            </w:r>
          </w:p>
        </w:tc>
      </w:tr>
    </w:tbl>
    <w:p>
      <w:pPr>
        <w:spacing w:before="80" w:after="120"/>
      </w:pPr>
      <w:r>
        <w:rPr>
          <w:rFonts w:ascii="Calibri" w:hAnsi="Calibri" w:cs="Calibri"/>
          <w:b/>
          <w:i w:val="0"/>
          <w:sz w:val="20"/>
        </w:rPr>
        <w:t xml:space="preserve">Holdings with no material pre-market news: </w:t>
      </w:r>
      <w:r>
        <w:rPr>
          <w:rFonts w:ascii="Calibri" w:hAnsi="Calibri" w:cs="Calibri"/>
          <w:b w:val="0"/>
          <w:i w:val="0"/>
          <w:sz w:val="20"/>
        </w:rPr>
        <w:t xml:space="preserve">AMZN, META, MSFT, ORCL, GOOGL, QQQ, VUG, SCHD, COST, DASH, NEE, NFLX, MU. All HOLD at current weights. </w:t>
      </w:r>
    </w:p>
    <w:p>
      <w:pPr>
        <w:pStyle w:val="Heading1"/>
        <w:spacing w:before="200" w:after="80"/>
      </w:pPr>
      <w:r>
        <w:rPr>
          <w:rFonts w:ascii="Calibri" w:hAnsi="Calibri" w:cs="Calibri"/>
          <w:b/>
          <w:i w:val="0"/>
          <w:color w:val="365F91"/>
          <w:sz w:val="28"/>
        </w:rPr>
        <w:t>3. Scan 2 — New Opportunities &amp; Watchlist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Ticker</w:t>
            </w:r>
          </w:p>
        </w:tc>
        <w:tc>
          <w:tcPr>
            <w:tcW w:type="dxa" w:w="2304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Status vs Trigger</w:t>
            </w:r>
          </w:p>
        </w:tc>
        <w:tc>
          <w:tcPr>
            <w:tcW w:type="dxa" w:w="2736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Recent Signal</w:t>
            </w:r>
          </w:p>
        </w:tc>
        <w:tc>
          <w:tcPr>
            <w:tcW w:type="dxa" w:w="3744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72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ARM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Trigger NOT met (price &lt;$130 sustained close)</w:t>
            </w:r>
          </w:p>
        </w:tc>
        <w:tc>
          <w:tcPr>
            <w:tcW w:type="dxa" w:w="27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Q4 beat; stock -7.3% on AGI-CPU supply-cap disclosure; ~+38% MTD</w:t>
            </w:r>
          </w:p>
        </w:tc>
        <w:tc>
          <w:tcPr>
            <w:tcW w:type="dxa" w:w="374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WATCH — confidence LOW; size 1.0% from cash on sustained close &lt;$130 with supply guidance update; price stop $118; thesis stop AI-edge royalty growth &lt;30% YoY for 2 quarters; pre-mortem: wrong if AGI-CPU supply gap proves transient AND multiple does not compress.</w:t>
            </w:r>
          </w:p>
        </w:tc>
      </w:tr>
      <w:tr>
        <w:tc>
          <w:tcPr>
            <w:tcW w:type="dxa" w:w="172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SPOT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Price $446.55 — far below historical &lt;$650 close trigger</w:t>
            </w:r>
          </w:p>
        </w:tc>
        <w:tc>
          <w:tcPr>
            <w:tcW w:type="dxa" w:w="27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Stock down ~28% YTD on softer premium-subs guide post Q1 print</w:t>
            </w:r>
          </w:p>
        </w:tc>
        <w:tc>
          <w:tcPr>
            <w:tcW w:type="dxa" w:w="374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WATCH — confidence MED; size 1.5% from cash; cash at 15.0% floor precludes deployment today; price stop -6%; thesis stop ad-rev growth &lt;8% YoY for 2 quarters; pre-mortem: wrong if podcast/ad flywheel decouples from Premium FCF.</w:t>
            </w:r>
          </w:p>
        </w:tc>
      </w:tr>
      <w:tr>
        <w:tc>
          <w:tcPr>
            <w:tcW w:type="dxa" w:w="172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AMD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Inverted post-print +18%; original entry trigger void</w:t>
            </w:r>
          </w:p>
        </w:tc>
        <w:tc>
          <w:tcPr>
            <w:tcW w:type="dxa" w:w="27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Q1 beat (rev +38%, DC +57%); Q2 guide $11.2B; HSBC valuation downgrade</w:t>
            </w:r>
          </w:p>
        </w:tc>
        <w:tc>
          <w:tcPr>
            <w:tcW w:type="dxa" w:w="374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REMOVE from watchlist — thesis exhausted at current multiple</w:t>
            </w:r>
          </w:p>
        </w:tc>
      </w:tr>
      <w:tr>
        <w:tc>
          <w:tcPr>
            <w:tcW w:type="dxa" w:w="172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AGL / SITM (one-day movers)</w:t>
            </w:r>
          </w:p>
        </w:tc>
        <w:tc>
          <w:tcPr>
            <w:tcW w:type="dxa" w:w="230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Idiosyncratic earnings beats</w:t>
            </w:r>
          </w:p>
        </w:tc>
        <w:tc>
          <w:tcPr>
            <w:tcW w:type="dxa" w:w="27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AGL +56.9% on Q1 EPS $2.94 vs $1.05 cons + raised guide; SITM +32.7% on Q2 outlook hike</w:t>
            </w:r>
          </w:p>
        </w:tc>
        <w:tc>
          <w:tcPr>
            <w:tcW w:type="dxa" w:w="374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NO ACTION — no fit at growth-portfolio mandate</w:t>
            </w:r>
          </w:p>
        </w:tc>
      </w:tr>
    </w:tbl>
    <w:p>
      <w:pPr>
        <w:pStyle w:val="Heading1"/>
        <w:spacing w:before="200" w:after="80"/>
      </w:pPr>
      <w:r>
        <w:rPr>
          <w:rFonts w:ascii="Calibri" w:hAnsi="Calibri" w:cs="Calibri"/>
          <w:b/>
          <w:i w:val="0"/>
          <w:color w:val="365F91"/>
          <w:sz w:val="28"/>
        </w:rPr>
        <w:t>4. Cash Recommendation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Framework</w:t>
            </w:r>
          </w:p>
        </w:tc>
        <w:tc>
          <w:tcPr>
            <w:tcW w:type="dxa" w:w="4896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Current Read</w:t>
            </w:r>
          </w:p>
        </w:tc>
        <w:tc>
          <w:tcPr>
            <w:tcW w:type="dxa" w:w="2016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Cash Target</w:t>
            </w:r>
          </w:p>
        </w:tc>
      </w:tr>
      <w:tr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IPS band</w:t>
            </w:r>
          </w:p>
        </w:tc>
        <w:tc>
          <w:tcPr>
            <w:tcW w:type="dxa" w:w="48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10–20%; midpoint 15%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Within band</w:t>
            </w:r>
          </w:p>
        </w:tc>
      </w:tr>
      <w:tr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Self-imposed defensive floor</w:t>
            </w:r>
          </w:p>
        </w:tc>
        <w:tc>
          <w:tcPr>
            <w:tcW w:type="dxa" w:w="48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15.0% — through NFP + NVDA May 20 print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≥15%</w:t>
            </w:r>
          </w:p>
        </w:tc>
      </w:tr>
      <w:tr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VIX&gt;30 or macro shock</w:t>
            </w:r>
          </w:p>
        </w:tc>
        <w:tc>
          <w:tcPr>
            <w:tcW w:type="dxa" w:w="48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VIX mid-teens — no shock trigger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Drawdown trigger (WTD ≥ -3%)</w:t>
            </w:r>
          </w:p>
        </w:tc>
        <w:tc>
          <w:tcPr>
            <w:tcW w:type="dxa" w:w="48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Not in play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Conditional deploy plan</w:t>
            </w:r>
          </w:p>
        </w:tc>
        <w:tc>
          <w:tcPr>
            <w:tcW w:type="dxa" w:w="489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NFP &lt;30k AND market sells off &gt;1.5% intraday → deploy 0.5–1.0% to AVGO or NVDA</w:t>
            </w:r>
          </w:p>
        </w:tc>
        <w:tc>
          <w:tcPr>
            <w:tcW w:type="dxa" w:w="201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→ 14.0–14.5%</w:t>
            </w:r>
          </w:p>
        </w:tc>
      </w:tr>
    </w:tbl>
    <w:p>
      <w:pPr>
        <w:spacing w:before="80" w:after="120"/>
      </w:pPr>
      <w:r>
        <w:rPr>
          <w:rFonts w:ascii="Calibri" w:hAnsi="Calibri" w:cs="Calibri"/>
          <w:b/>
          <w:i w:val="0"/>
          <w:sz w:val="20"/>
        </w:rPr>
        <w:t xml:space="preserve">Rationale: </w:t>
      </w:r>
      <w:r>
        <w:rPr>
          <w:rFonts w:ascii="Calibri" w:hAnsi="Calibri" w:cs="Calibri"/>
          <w:b w:val="0"/>
          <w:i w:val="0"/>
          <w:sz w:val="20"/>
        </w:rPr>
        <w:t>Cash held at 15.0% — IPS midpoint and self-imposed defensive floor. CONFIRMED via tracker. No deployments / trims today. Headroom: +5.0% to floor (10%), -5.0% to ceiling (20%). Defensive posture preserved through April NFP (Fri 8:30 ET) and NVDA May 20 print.</w:t>
      </w:r>
    </w:p>
    <w:p>
      <w:pPr>
        <w:pStyle w:val="Heading1"/>
        <w:spacing w:before="200" w:after="80"/>
      </w:pPr>
      <w:r>
        <w:rPr>
          <w:rFonts w:ascii="Calibri" w:hAnsi="Calibri" w:cs="Calibri"/>
          <w:b/>
          <w:i w:val="0"/>
          <w:color w:val="365F91"/>
          <w:sz w:val="28"/>
        </w:rPr>
        <w:t>5. Pending Catalysts — Status Update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Catalyst</w:t>
            </w:r>
          </w:p>
        </w:tc>
        <w:tc>
          <w:tcPr>
            <w:tcW w:type="dxa" w:w="3168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3168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Status (as of 2026-05-07)</w:t>
            </w:r>
          </w:p>
        </w:tc>
        <w:tc>
          <w:tcPr>
            <w:tcW w:type="dxa" w:w="1872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59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April NFP (Fri 8:30 ET)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&lt;30k AND -1.5% intraday → deploy 0.5–1.0% AVGO/NVDA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Pending; cons. 65–120k vs 178k prior; UR 4.3%</w:t>
            </w:r>
          </w:p>
        </w:tc>
        <w:tc>
          <w:tcPr>
            <w:tcW w:type="dxa" w:w="187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OPEN — Friday</w:t>
            </w:r>
          </w:p>
        </w:tc>
      </w:tr>
      <w:tr>
        <w:tc>
          <w:tcPr>
            <w:tcW w:type="dxa" w:w="259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April CPI (May 12)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Inflation read; FOMC June set-up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OPEN</w:t>
            </w:r>
          </w:p>
        </w:tc>
      </w:tr>
      <w:tr>
        <w:tc>
          <w:tcPr>
            <w:tcW w:type="dxa" w:w="259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NVDA Q1 (May 20 AMC)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Whisper $80–82B vs $78.8B cons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Pending</w:t>
            </w:r>
          </w:p>
        </w:tc>
        <w:tc>
          <w:tcPr>
            <w:tcW w:type="dxa" w:w="187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OPEN — marquee</w:t>
            </w:r>
          </w:p>
        </w:tc>
      </w:tr>
      <w:tr>
        <w:tc>
          <w:tcPr>
            <w:tcW w:type="dxa" w:w="259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WTI &lt;$90 sustained close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Trim XOM 3.0→2.5, EOG 2.5→2.0, +1.0% cash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INTRADAY TOUCH 5/7 ($88.66) — NOT confirmed on close (settled &gt;$95)</w:t>
            </w:r>
          </w:p>
        </w:tc>
        <w:tc>
          <w:tcPr>
            <w:tcW w:type="dxa" w:w="187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OPEN — watch close</w:t>
            </w:r>
          </w:p>
        </w:tc>
      </w:tr>
      <w:tr>
        <w:tc>
          <w:tcPr>
            <w:tcW w:type="dxa" w:w="259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UNH carry-value reconciliation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Tracker $510 vs market ~$365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3rd session FLAG; position appropriate at 3.0%</w:t>
            </w:r>
          </w:p>
        </w:tc>
        <w:tc>
          <w:tcPr>
            <w:tcW w:type="dxa" w:w="187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OPEN — reconcile</w:t>
            </w:r>
          </w:p>
        </w:tc>
      </w:tr>
      <w:tr>
        <w:tc>
          <w:tcPr>
            <w:tcW w:type="dxa" w:w="259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Cybersecurity overhang (OpenAI)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PANW 4.0% / CRWD 1.5% reaction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Persists from Apr 30 disclosure</w:t>
            </w:r>
          </w:p>
        </w:tc>
        <w:tc>
          <w:tcPr>
            <w:tcW w:type="dxa" w:w="187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OPEN — watch</w:t>
            </w:r>
          </w:p>
        </w:tc>
      </w:tr>
      <w:tr>
        <w:tc>
          <w:tcPr>
            <w:tcW w:type="dxa" w:w="259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ARM watchlist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Sustained close &lt;$130 + supply guidance update</w:t>
            </w:r>
          </w:p>
        </w:tc>
        <w:tc>
          <w:tcPr>
            <w:tcW w:type="dxa" w:w="3168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Stock -7.3% post-print; trigger not met</w:t>
            </w:r>
          </w:p>
        </w:tc>
        <w:tc>
          <w:tcPr>
            <w:tcW w:type="dxa" w:w="1872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OPEN — defer</w:t>
            </w:r>
          </w:p>
        </w:tc>
      </w:tr>
    </w:tbl>
    <w:p>
      <w:pPr>
        <w:pStyle w:val="Heading1"/>
        <w:spacing w:before="200" w:after="80"/>
      </w:pPr>
      <w:r>
        <w:rPr>
          <w:rFonts w:ascii="Calibri" w:hAnsi="Calibri" w:cs="Calibri"/>
          <w:b/>
          <w:i w:val="0"/>
          <w:color w:val="365F91"/>
          <w:sz w:val="28"/>
        </w:rPr>
        <w:t>6. Recommended Weight Changes (today)</w:t>
      </w:r>
    </w:p>
    <w:p>
      <w:pPr>
        <w:spacing w:before="40" w:after="40"/>
      </w:pPr>
      <w:r>
        <w:rPr>
          <w:rFonts w:ascii="Calibri" w:hAnsi="Calibri" w:cs="Calibri"/>
          <w:b/>
          <w:i w:val="0"/>
          <w:sz w:val="20"/>
        </w:rPr>
        <w:t xml:space="preserve">NONE TODAY. </w:t>
      </w:r>
      <w:r>
        <w:rPr>
          <w:rFonts w:ascii="Calibri" w:hAnsi="Calibri" w:cs="Calibri"/>
          <w:b w:val="0"/>
          <w:i w:val="0"/>
          <w:sz w:val="20"/>
        </w:rPr>
        <w:t>WTI &lt;$90 trim trigger requires sustained close, not intraday touch (intraday low $88.66, stabilized &gt;$95). No thesis-stop hits; no IPS breaches. Single-name max NVDA 6.5% (IPS cap 7.0%); sector max Technology ~33.5% (IPS cap 35.0%); cash 15.0% (mid-band). Cash at self-imposed floor precludes adds.</w:t>
      </w:r>
    </w:p>
    <w:p>
      <w:pPr>
        <w:spacing w:before="0" w:after="120"/>
      </w:pPr>
      <w:r>
        <w:rPr>
          <w:rFonts w:ascii="Calibri" w:hAnsi="Calibri" w:cs="Calibri"/>
          <w:b w:val="0"/>
          <w:i/>
          <w:sz w:val="20"/>
        </w:rPr>
        <w:t>Portfolio weights total = 100.0% (verified). No re-balancing required pre-market.</w:t>
      </w:r>
    </w:p>
    <w:p>
      <w:pPr>
        <w:pStyle w:val="Heading1"/>
        <w:spacing w:before="200" w:after="80"/>
      </w:pPr>
      <w:r>
        <w:rPr>
          <w:rFonts w:ascii="Calibri" w:hAnsi="Calibri" w:cs="Calibri"/>
          <w:b/>
          <w:i w:val="0"/>
          <w:color w:val="365F91"/>
          <w:sz w:val="28"/>
        </w:rPr>
        <w:t>7. Full Portfolio Table — 27 Positions + Cash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Ticker</w:t>
            </w:r>
          </w:p>
        </w:tc>
        <w:tc>
          <w:tcPr>
            <w:tcW w:type="dxa" w:w="1440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Weight %</w:t>
            </w:r>
          </w:p>
        </w:tc>
        <w:tc>
          <w:tcPr>
            <w:tcW w:type="dxa" w:w="6336"/>
            <w:shd w:val="clear" w:color="auto" w:fill="1F4E79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Sector / Category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NVDA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6.5%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AI Infrastructure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AMZN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5.5%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Cloud / E-Commerce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META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4.5%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Communication Services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LLY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4.5%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Healthcare – Pharmaceuticals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JPM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4.5%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Financials – Banking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AVGO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4.0%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Semiconductors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MSFT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4.0%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Enterprise Software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PANW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4.0%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Cybersecurity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ORCL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Cloud Database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QQQ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ETF – Nasdaq-100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GOOGL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Search / Cloud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PLTR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AI Software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UNH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Healthcare – Managed Care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XOM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Energy – Integrated Oil &amp; Gas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V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Financials – Payments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TSM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3.0%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Foundry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MU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Memory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VUG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ETF – Large-Cap Growth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SCHD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ETF – Dividend / Income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EOG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Energy – E&amp;P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COST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Consumer Staples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DASH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Consumer Discretionary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NEE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Utilities – Renewables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ABBV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Healthcare – Biotech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NFLX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Communication Services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CRWD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Cybersecurity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INTC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1.5%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Technology – Semiconductors</w:t>
            </w:r>
          </w:p>
        </w:tc>
      </w:tr>
      <w:tr>
        <w:tc>
          <w:tcPr>
            <w:tcW w:type="dxa" w:w="72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CASH</w:t>
            </w:r>
          </w:p>
        </w:tc>
        <w:tc>
          <w:tcPr>
            <w:tcW w:type="dxa" w:w="1440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15.0%</w:t>
            </w:r>
          </w:p>
        </w:tc>
        <w:tc>
          <w:tcPr>
            <w:tcW w:type="dxa" w:w="6336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 w:cs="Calibri"/>
                <w:b w:val="0"/>
                <w:i w:val="0"/>
                <w:color w:val="000000"/>
                <w:sz w:val="20"/>
              </w:rPr>
              <w:t>Cash &amp; Money Market Reserve</w:t>
            </w:r>
          </w:p>
        </w:tc>
      </w:tr>
    </w:tbl>
    <w:p>
      <w:pPr>
        <w:spacing w:before="80" w:after="120"/>
      </w:pPr>
      <w:r>
        <w:rPr>
          <w:rFonts w:ascii="Calibri" w:hAnsi="Calibri" w:cs="Calibri"/>
          <w:b/>
          <w:i w:val="0"/>
          <w:color w:val="0B6E3D"/>
          <w:sz w:val="20"/>
        </w:rPr>
        <w:t>Portfolio sum verified: 100.0% = 100.0% ✓</w:t>
      </w:r>
    </w:p>
    <w:p>
      <w:pPr>
        <w:pStyle w:val="Heading1"/>
        <w:spacing w:before="200" w:after="80"/>
      </w:pPr>
      <w:r>
        <w:rPr>
          <w:rFonts w:ascii="Calibri" w:hAnsi="Calibri" w:cs="Calibri"/>
          <w:b/>
          <w:i w:val="0"/>
          <w:color w:val="365F91"/>
          <w:sz w:val="28"/>
        </w:rPr>
        <w:t>8. Sources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S&amp;P 500 / Nasdaq / Market: </w:t>
      </w:r>
      <w:r>
        <w:rPr>
          <w:rFonts w:ascii="Calibri" w:hAnsi="Calibri" w:cs="Calibri"/>
          <w:b w:val="0"/>
          <w:i w:val="0"/>
          <w:sz w:val="20"/>
        </w:rPr>
        <w:t>TheStreet, CNBC, Yahoo Finance, 24/7 Wall St (May 6–7,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WTI / Brent / Iran: </w:t>
      </w:r>
      <w:r>
        <w:rPr>
          <w:rFonts w:ascii="Calibri" w:hAnsi="Calibri" w:cs="Calibri"/>
          <w:b w:val="0"/>
          <w:i w:val="0"/>
          <w:sz w:val="20"/>
        </w:rPr>
        <w:t>CNBC, FXDailyReport, Tradingeconomics, Euronews (May 5–7,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Fed / FOMC: </w:t>
      </w:r>
      <w:r>
        <w:rPr>
          <w:rFonts w:ascii="Calibri" w:hAnsi="Calibri" w:cs="Calibri"/>
          <w:b w:val="0"/>
          <w:i w:val="0"/>
          <w:sz w:val="20"/>
        </w:rPr>
        <w:t>Federal Reserve FOMC statement (Apr 28–29,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April NFP preview: </w:t>
      </w:r>
      <w:r>
        <w:rPr>
          <w:rFonts w:ascii="Calibri" w:hAnsi="Calibri" w:cs="Calibri"/>
          <w:b w:val="0"/>
          <w:i w:val="0"/>
          <w:sz w:val="20"/>
        </w:rPr>
        <w:t>Kiplinger, Wells Fargo, Fifth Third, FXStreet, LinkUp (May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ARM Q4 earnings: </w:t>
      </w:r>
      <w:r>
        <w:rPr>
          <w:rFonts w:ascii="Calibri" w:hAnsi="Calibri" w:cs="Calibri"/>
          <w:b w:val="0"/>
          <w:i w:val="0"/>
          <w:sz w:val="20"/>
        </w:rPr>
        <w:t>ARM IR, Investing.com, Shacknews, Seeking Alpha, Yahoo (May 6–7,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AMD / EOG Q1 (May 5 AMC): </w:t>
      </w:r>
      <w:r>
        <w:rPr>
          <w:rFonts w:ascii="Calibri" w:hAnsi="Calibri" w:cs="Calibri"/>
          <w:b w:val="0"/>
          <w:i w:val="0"/>
          <w:sz w:val="20"/>
        </w:rPr>
        <w:t>AMD IR, EOG IR, TradingKey, Investing.com, Meyka (May 5–6,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NVDA / Corning partnership: </w:t>
      </w:r>
      <w:r>
        <w:rPr>
          <w:rFonts w:ascii="Calibri" w:hAnsi="Calibri" w:cs="Calibri"/>
          <w:b w:val="0"/>
          <w:i w:val="0"/>
          <w:sz w:val="20"/>
        </w:rPr>
        <w:t>Motley Fool, TradingKey, Yahoo Finance (May 5–7,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PLTR Argus upgrade: </w:t>
      </w:r>
      <w:r>
        <w:rPr>
          <w:rFonts w:ascii="Calibri" w:hAnsi="Calibri" w:cs="Calibri"/>
          <w:b w:val="0"/>
          <w:i w:val="0"/>
          <w:sz w:val="20"/>
        </w:rPr>
        <w:t>TradingKey, Motley Fool, TheStreet (May 5–7,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UNH price reconciliation: </w:t>
      </w:r>
      <w:r>
        <w:rPr>
          <w:rFonts w:ascii="Calibri" w:hAnsi="Calibri" w:cs="Calibri"/>
          <w:b w:val="0"/>
          <w:i w:val="0"/>
          <w:sz w:val="20"/>
        </w:rPr>
        <w:t>Yahoo Finance, Phemex (May 6–7,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SPOT / Watchlist: </w:t>
      </w:r>
      <w:r>
        <w:rPr>
          <w:rFonts w:ascii="Calibri" w:hAnsi="Calibri" w:cs="Calibri"/>
          <w:b w:val="0"/>
          <w:i w:val="0"/>
          <w:sz w:val="20"/>
        </w:rPr>
        <w:t>Yahoo Finance, Motley Fool (May 6, 2026)</w:t>
      </w:r>
    </w:p>
    <w:p>
      <w:pPr>
        <w:pStyle w:val="ListBullet"/>
        <w:spacing w:before="0" w:after="40"/>
      </w:pPr>
      <w:r>
        <w:rPr>
          <w:rFonts w:ascii="Calibri" w:hAnsi="Calibri" w:cs="Calibri"/>
          <w:b/>
          <w:i w:val="0"/>
          <w:sz w:val="20"/>
        </w:rPr>
        <w:t xml:space="preserve">Premarket movers: </w:t>
      </w:r>
      <w:r>
        <w:rPr>
          <w:rFonts w:ascii="Calibri" w:hAnsi="Calibri" w:cs="Calibri"/>
          <w:b w:val="0"/>
          <w:i w:val="0"/>
          <w:sz w:val="20"/>
        </w:rPr>
        <w:t>StockAnalysis, Investing.com (May 7, 2026)</w:t>
      </w:r>
    </w:p>
    <w:p>
      <w:pPr>
        <w:spacing w:before="200" w:after="0"/>
      </w:pPr>
      <w:r>
        <w:rPr>
          <w:rFonts w:ascii="Calibri" w:hAnsi="Calibri" w:cs="Calibri"/>
          <w:b/>
          <w:i/>
          <w:color w:val="777777"/>
          <w:sz w:val="16"/>
        </w:rPr>
        <w:t xml:space="preserve">DISCLAIMER: </w:t>
      </w:r>
      <w:r>
        <w:rPr>
          <w:rFonts w:ascii="Calibri" w:hAnsi="Calibri" w:cs="Calibri"/>
          <w:b w:val="0"/>
          <w:i/>
          <w:color w:val="777777"/>
          <w:sz w:val="16"/>
        </w:rPr>
        <w:t>Automated pre-market scan output. All prices, yields, and weights approximate and sourced from public financial data providers. Provenance tags: SOURCED = live/delayed market data at write time; CONFIRMED = aggregate provided by user / ground-truth tracker; CALIBRATED = fit-to-reconcile, not a substitute for sourced data. UNH tracker carry $510 vs market ~$365 is CALIBRATED pending reconciliation. WTI intraday levels are SOURCED indicative quotes and may move before close. IPS hard limits: single ≤7%, ETF ≤5%, sector ≤35%, cash 10–20%, no leverage / options / shorts. This document is for internal portfolio review only and does not constitute investment advice.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