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 w:cs="Calibri"/>
          <w:b/>
          <w:i w:val="0"/>
          <w:color w:val="1F4E79"/>
          <w:sz w:val="36"/>
        </w:rPr>
        <w:t>DAILY PRE-MARKET PORTFOLIO REPORT</w:t>
      </w:r>
    </w:p>
    <w:p>
      <w:pPr>
        <w:spacing w:before="0" w:after="40"/>
        <w:jc w:val="center"/>
      </w:pPr>
      <w:r>
        <w:rPr>
          <w:rFonts w:ascii="Calibri" w:hAnsi="Calibri" w:cs="Calibri"/>
          <w:b w:val="0"/>
          <w:i/>
          <w:sz w:val="22"/>
        </w:rPr>
        <w:t>Long-Term Growth Portfolio  |  Active Wealth Management</w:t>
      </w:r>
    </w:p>
    <w:p>
      <w:pPr>
        <w:spacing w:before="0" w:after="160"/>
        <w:jc w:val="center"/>
      </w:pPr>
      <w:r>
        <w:rPr>
          <w:rFonts w:ascii="Calibri" w:hAnsi="Calibri" w:cs="Calibri"/>
          <w:b w:val="0"/>
          <w:i w:val="0"/>
          <w:color w:val="555555"/>
          <w:sz w:val="20"/>
        </w:rPr>
        <w:t>Report Date: Friday, May 8, 2026  |  Benchmark: S&amp;P 500  |  Horizon: Long-Term Growth</w:t>
      </w:r>
    </w:p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1. Market Snapshot — Pre-Market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48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Indicator</w:t>
            </w:r>
          </w:p>
        </w:tc>
        <w:tc>
          <w:tcPr>
            <w:tcW w:type="dxa" w:w="2304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Level</w:t>
            </w:r>
          </w:p>
        </w:tc>
        <w:tc>
          <w:tcPr>
            <w:tcW w:type="dxa" w:w="2304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Δ vs Prior</w:t>
            </w:r>
          </w:p>
        </w:tc>
        <w:tc>
          <w:tcPr>
            <w:tcW w:type="dxa" w:w="3456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Signal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S&amp;P 500 e-mini futures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7,399.50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+36.50 (+0.50%)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Risk-on into NFP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Nasdaq 100 e-mini futures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28,896.00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+213.75 (+0.75%)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Tech leadership intact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Dow futures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49,858.00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+158.00 (+0.32%)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Cyclicals supported by oil pullback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VIX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Mid-teens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Stable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Below 20 — benign; no defensive trigger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10Y Treasury Yield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~4.1% (est.)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Modestly elevated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Fed hold 3.50–3.75%; one cut 2026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WTI Crude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~$94.87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Stable on day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&lt;$90 trim trigger NOT confirmed on close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Brent Crude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~$97.9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Off Wed lows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Hormuz exchange-of-fire strains ceasefire</w:t>
            </w:r>
          </w:p>
        </w:tc>
      </w:tr>
      <w:tr>
        <w:tc>
          <w:tcPr>
            <w:tcW w:type="dxa" w:w="244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April NFP (8:30 ET)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+115,000 actual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Cons. 55k beat</w:t>
            </w:r>
          </w:p>
        </w:tc>
        <w:tc>
          <w:tcPr>
            <w:tcW w:type="dxa" w:w="345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Hawkish skew; cash deploy plan voided</w:t>
            </w:r>
          </w:p>
        </w:tc>
      </w:tr>
    </w:tbl>
    <w:p>
      <w:pPr>
        <w:spacing w:before="80" w:after="120"/>
      </w:pPr>
      <w:r>
        <w:rPr>
          <w:rFonts w:ascii="Calibri" w:hAnsi="Calibri" w:cs="Calibri"/>
          <w:b/>
          <w:i w:val="0"/>
          <w:sz w:val="20"/>
        </w:rPr>
        <w:t xml:space="preserve">Macro lens: </w:t>
      </w:r>
      <w:r>
        <w:rPr>
          <w:rFonts w:ascii="Calibri" w:hAnsi="Calibri" w:cs="Calibri"/>
          <w:b w:val="0"/>
          <w:i w:val="0"/>
          <w:sz w:val="20"/>
        </w:rPr>
        <w:t>April nonfarm payrolls printed +115k vs cons 55k — large upside beat, with UR steady at 4.3% and wage growth ticking up to ~3.8% YoY. The conditional cash-deploy plan ('NFP &lt;30k AND -1.5% intraday → deploy 0.5–1.0% to AVGO or NVDA') is voided. Pre-print futures were already constructive and held the bid post-release. WTI trades ~$94.87 after Thu's intraday $88.66 low; the &lt;$90 sustained-close trim trigger remains unconfirmed. US-Iran exchange of fire in Hormuz strained the ceasefire; Trump says it remains in effect. Tehran response via Pakistan expected within 2 days. Calendar: April CPI Mon May 12; NVDA Q1 May 20 AMC.</w:t>
      </w:r>
    </w:p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2. Scan 1 — Holdings Review (Affected Names)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440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Ticker</w:t>
            </w:r>
          </w:p>
        </w:tc>
        <w:tc>
          <w:tcPr>
            <w:tcW w:type="dxa" w:w="3600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Headline / Trigger</w:t>
            </w:r>
          </w:p>
        </w:tc>
        <w:tc>
          <w:tcPr>
            <w:tcW w:type="dxa" w:w="2016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Source</w:t>
            </w:r>
          </w:p>
        </w:tc>
        <w:tc>
          <w:tcPr>
            <w:tcW w:type="dxa" w:w="1296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Impact</w:t>
            </w:r>
          </w:p>
        </w:tc>
        <w:tc>
          <w:tcPr>
            <w:tcW w:type="dxa" w:w="2160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NVDA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$212.74 intraday +0.59%; ATH $216.83 set Apr 27; Q1 May 20 AMC whisper $80–82B vs $78.8B cons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Yahoo, Motley Fool (May 7–8)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POSITIVE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6.5% — at IPS single-name proximity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XOM / EOG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WTI ~$94.87; Thu intraday $88.66 low not confirmed on close; Hormuz exchange-of-fire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CNBC, NewsX (May 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WATCH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3.0% / 2.5% — trim trigger watch elevated; act only on sustained close &lt;$90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META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May 7 close $619.87 (+0.50%); Q1 ad revenue $55.0B (+33%); capex $125–145B unchanged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StockAnalysis, Investing.com (May 7–8)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NEUTRAL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4.5% — ad-cycle digestion ongoing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UNH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$369.74 May 7 close (+0.67%); PA elimination 30% services; Goldman PT $435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StockAnalysis, Yahoo (May 7–8)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FLAG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3.0% — carry $510 vs market $370 reconciliation FLAG (4th session)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LLY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HSBC 'Reduce' downgrade is from Mar 17 — already digested, NOT a new catalyst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CoinCentral, FiercePharma (Mar 17)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NEUTRAL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4.5% — Q1 (Apr 30) +9% reaction stable; thesis intact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AVGO / TSM / MU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ARM supply-cap signal positive read-through to foundry/memory; NVDA-Corning tailwind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Internal (May 7–8)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POSITIVE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4.0% / 3.0% / 2.5%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PLTR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Argus upgrade to Buy digested into Thu +3.08%; no new catalyst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TradingKey (May 7)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NEUTRAL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3.0%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PANW / CRWD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OpenAI in-platform security feature overhang persists from Apr 30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Internal (May 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WATCH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4.0% / 1.5% — thesis intact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JPM / V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Both clear of Q1 / Q2 prints; rate-path read tied to NFP (now hawkish skew)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Internal (May 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NEUTRAL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4.5% / 3.0%</w:t>
            </w:r>
          </w:p>
        </w:tc>
      </w:tr>
      <w:tr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INTC</w:t>
            </w:r>
          </w:p>
        </w:tc>
        <w:tc>
          <w:tcPr>
            <w:tcW w:type="dxa" w:w="360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Post Apr 24 entry; no new catalyst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Internal (May 8)</w:t>
            </w:r>
          </w:p>
        </w:tc>
        <w:tc>
          <w:tcPr>
            <w:tcW w:type="dxa" w:w="12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NEUTRAL</w:t>
            </w:r>
          </w:p>
        </w:tc>
        <w:tc>
          <w:tcPr>
            <w:tcW w:type="dxa" w:w="216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HOLD 1.5%</w:t>
            </w:r>
          </w:p>
        </w:tc>
      </w:tr>
    </w:tbl>
    <w:p>
      <w:pPr>
        <w:spacing w:before="80" w:after="120"/>
      </w:pPr>
      <w:r>
        <w:rPr>
          <w:rFonts w:ascii="Calibri" w:hAnsi="Calibri" w:cs="Calibri"/>
          <w:b/>
          <w:i w:val="0"/>
          <w:sz w:val="20"/>
        </w:rPr>
        <w:t xml:space="preserve">Holdings with no material pre-market news: </w:t>
      </w:r>
      <w:r>
        <w:rPr>
          <w:rFonts w:ascii="Calibri" w:hAnsi="Calibri" w:cs="Calibri"/>
          <w:b w:val="0"/>
          <w:i w:val="0"/>
          <w:sz w:val="20"/>
        </w:rPr>
        <w:t>AMZN, MSFT, ORCL, GOOGL, QQQ, VUG, SCHD, COST, DASH, NEE, NFLX, ABBV. All HOLD at current weights.</w:t>
      </w:r>
    </w:p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3. Scan 2 — New Opportunities &amp; Watchlist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728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Ticker</w:t>
            </w:r>
          </w:p>
        </w:tc>
        <w:tc>
          <w:tcPr>
            <w:tcW w:type="dxa" w:w="2304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Status vs Trigger</w:t>
            </w:r>
          </w:p>
        </w:tc>
        <w:tc>
          <w:tcPr>
            <w:tcW w:type="dxa" w:w="2736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Recent Signal</w:t>
            </w:r>
          </w:p>
        </w:tc>
        <w:tc>
          <w:tcPr>
            <w:tcW w:type="dxa" w:w="3744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172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ARM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Trigger NOT met (price &lt;$130 sustained close)</w:t>
            </w:r>
          </w:p>
        </w:tc>
        <w:tc>
          <w:tcPr>
            <w:tcW w:type="dxa" w:w="27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Q4 beat both lines; -7.3% Thu on AGI-CPU supply-cap miss; still elevated MTD</w:t>
            </w:r>
          </w:p>
        </w:tc>
        <w:tc>
          <w:tcPr>
            <w:tcW w:type="dxa" w:w="374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WATCH — confidence LOW; size 1.0% from cash on sustained close &lt;$130 with supply-capacity guidance update; price stop $118; thesis stop AI-edge royalty growth &lt;30% YoY for 2 quarters; pre-mortem: wrong if AGI-CPU supply gap proves transient AND multiple does not compress.</w:t>
            </w:r>
          </w:p>
        </w:tc>
      </w:tr>
      <w:tr>
        <w:tc>
          <w:tcPr>
            <w:tcW w:type="dxa" w:w="172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SPOT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Last $446.55 — long-since below historical &lt;$650 close trigger</w:t>
            </w:r>
          </w:p>
        </w:tc>
        <w:tc>
          <w:tcPr>
            <w:tcW w:type="dxa" w:w="27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-28% YTD on softer premium-subs guide post Q1</w:t>
            </w:r>
          </w:p>
        </w:tc>
        <w:tc>
          <w:tcPr>
            <w:tcW w:type="dxa" w:w="374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WATCH — confidence MED; size 1.5% from cash; cash at 15.0% floor precludes deployment; price stop -6%; thesis stop ad-rev growth &lt;8% YoY for 2 quarters; pre-mortem: wrong if podcast/ad flywheel decouples from Premium FCF.</w:t>
            </w:r>
          </w:p>
        </w:tc>
      </w:tr>
      <w:tr>
        <w:tc>
          <w:tcPr>
            <w:tcW w:type="dxa" w:w="172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AGL / SITM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Idiosyncratic earnings beats (May 7)</w:t>
            </w:r>
          </w:p>
        </w:tc>
        <w:tc>
          <w:tcPr>
            <w:tcW w:type="dxa" w:w="27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AGL +56.9% on Q1 EPS beat + raised guide; SITM +32.7% on Q2 outlook hike</w:t>
            </w:r>
          </w:p>
        </w:tc>
        <w:tc>
          <w:tcPr>
            <w:tcW w:type="dxa" w:w="374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NO ACTION — no fit at growth-portfolio mandate</w:t>
            </w:r>
          </w:p>
        </w:tc>
      </w:tr>
      <w:tr>
        <w:tc>
          <w:tcPr>
            <w:tcW w:type="dxa" w:w="172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AMD</w:t>
            </w:r>
          </w:p>
        </w:tc>
        <w:tc>
          <w:tcPr>
            <w:tcW w:type="dxa" w:w="230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Removed from watchlist (May 6) — entry trigger inverted post-print</w:t>
            </w:r>
          </w:p>
        </w:tc>
        <w:tc>
          <w:tcPr>
            <w:tcW w:type="dxa" w:w="27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Stock +18% post May 5 print; HSBC valuation downgrade</w:t>
            </w:r>
          </w:p>
        </w:tc>
        <w:tc>
          <w:tcPr>
            <w:tcW w:type="dxa" w:w="3744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NO ACTION — thesis exhausted at current multiple</w:t>
            </w:r>
          </w:p>
        </w:tc>
      </w:tr>
    </w:tbl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4. Cash Recommendation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4896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Current Read</w:t>
            </w:r>
          </w:p>
        </w:tc>
        <w:tc>
          <w:tcPr>
            <w:tcW w:type="dxa" w:w="2016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Cash Target</w:t>
            </w:r>
          </w:p>
        </w:tc>
      </w:tr>
      <w:tr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IPS band</w:t>
            </w:r>
          </w:p>
        </w:tc>
        <w:tc>
          <w:tcPr>
            <w:tcW w:type="dxa" w:w="48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10–20%; midpoint 15%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Within band</w:t>
            </w:r>
          </w:p>
        </w:tc>
      </w:tr>
      <w:tr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Self-imposed defensive floor</w:t>
            </w:r>
          </w:p>
        </w:tc>
        <w:tc>
          <w:tcPr>
            <w:tcW w:type="dxa" w:w="48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15.0% — through April CPI + NVDA May 20 print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≥15%</w:t>
            </w:r>
          </w:p>
        </w:tc>
      </w:tr>
      <w:tr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VIX&gt;30 or macro shock</w:t>
            </w:r>
          </w:p>
        </w:tc>
        <w:tc>
          <w:tcPr>
            <w:tcW w:type="dxa" w:w="48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VIX mid-teens — no shock trigger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Drawdown trigger (WTD ≥ -3%)</w:t>
            </w:r>
          </w:p>
        </w:tc>
        <w:tc>
          <w:tcPr>
            <w:tcW w:type="dxa" w:w="48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Not in play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—</w:t>
            </w:r>
          </w:p>
        </w:tc>
      </w:tr>
      <w:tr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Conditional NFP deploy plan</w:t>
            </w:r>
          </w:p>
        </w:tc>
        <w:tc>
          <w:tcPr>
            <w:tcW w:type="dxa" w:w="489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INVALIDATED — NFP +115k beat; deploy plan voided</w:t>
            </w:r>
          </w:p>
        </w:tc>
        <w:tc>
          <w:tcPr>
            <w:tcW w:type="dxa" w:w="201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Hold ≥15%</w:t>
            </w:r>
          </w:p>
        </w:tc>
      </w:tr>
    </w:tbl>
    <w:p>
      <w:pPr>
        <w:spacing w:before="80" w:after="120"/>
      </w:pPr>
      <w:r>
        <w:rPr>
          <w:rFonts w:ascii="Calibri" w:hAnsi="Calibri" w:cs="Calibri"/>
          <w:b/>
          <w:i w:val="0"/>
          <w:sz w:val="20"/>
        </w:rPr>
        <w:t xml:space="preserve">Rationale: </w:t>
      </w:r>
      <w:r>
        <w:rPr>
          <w:rFonts w:ascii="Calibri" w:hAnsi="Calibri" w:cs="Calibri"/>
          <w:b w:val="0"/>
          <w:i w:val="0"/>
          <w:sz w:val="20"/>
        </w:rPr>
        <w:t>Cash held at 15.0% — IPS midpoint and self-imposed defensive floor. CONFIRMED via tracker. The NFP-conditional deploy plan is voided by today's +115k upside beat; reactive posture preserved through April CPI (May 12) and NVDA Q1 (May 20). Headroom: +5.0% to floor (10%), -5.0% to ceiling (20%).</w:t>
      </w:r>
    </w:p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5. Pending Catalysts — Status Update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Catalyst</w:t>
            </w:r>
          </w:p>
        </w:tc>
        <w:tc>
          <w:tcPr>
            <w:tcW w:type="dxa" w:w="3168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Trigger</w:t>
            </w:r>
          </w:p>
        </w:tc>
        <w:tc>
          <w:tcPr>
            <w:tcW w:type="dxa" w:w="3168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Status (as of 2026-05-08)</w:t>
            </w:r>
          </w:p>
        </w:tc>
        <w:tc>
          <w:tcPr>
            <w:tcW w:type="dxa" w:w="1872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Resolution</w:t>
            </w:r>
          </w:p>
        </w:tc>
      </w:tr>
      <w:tr>
        <w:tc>
          <w:tcPr>
            <w:tcW w:type="dxa" w:w="259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April NFP (May 8 8:30 ET)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&lt;30k AND -1.5% intraday → deploy 0.5–1.0% AVGO/NVDA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PRINTED +115k vs 55k cons; deploy plan VOIDED</w:t>
            </w:r>
          </w:p>
        </w:tc>
        <w:tc>
          <w:tcPr>
            <w:tcW w:type="dxa" w:w="187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CLOSED — no action</w:t>
            </w:r>
          </w:p>
        </w:tc>
      </w:tr>
      <w:tr>
        <w:tc>
          <w:tcPr>
            <w:tcW w:type="dxa" w:w="259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April CPI (Mon May 12)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Inflation read; FOMC June set-up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OPEN</w:t>
            </w:r>
          </w:p>
        </w:tc>
      </w:tr>
      <w:tr>
        <w:tc>
          <w:tcPr>
            <w:tcW w:type="dxa" w:w="259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NVDA Q1 (May 20 AMC)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Whisper $80–82B vs $78.8B cons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Pending</w:t>
            </w:r>
          </w:p>
        </w:tc>
        <w:tc>
          <w:tcPr>
            <w:tcW w:type="dxa" w:w="187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OPEN — marquee</w:t>
            </w:r>
          </w:p>
        </w:tc>
      </w:tr>
      <w:tr>
        <w:tc>
          <w:tcPr>
            <w:tcW w:type="dxa" w:w="259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WTI &lt;$90 sustained close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Trim XOM 3.0→2.5, EOG 2.5→2.0, +1.0% cash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Thu intraday $88.66 NOT confirmed on close; Fri ~$94.87</w:t>
            </w:r>
          </w:p>
        </w:tc>
        <w:tc>
          <w:tcPr>
            <w:tcW w:type="dxa" w:w="187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OPEN — watch close</w:t>
            </w:r>
          </w:p>
        </w:tc>
      </w:tr>
      <w:tr>
        <w:tc>
          <w:tcPr>
            <w:tcW w:type="dxa" w:w="259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UNH carry-value reconciliation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Tracker $510 vs market ~$370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4th session FLAG; position appropriate at 3.0%</w:t>
            </w:r>
          </w:p>
        </w:tc>
        <w:tc>
          <w:tcPr>
            <w:tcW w:type="dxa" w:w="187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OPEN — reconcile</w:t>
            </w:r>
          </w:p>
        </w:tc>
      </w:tr>
      <w:tr>
        <w:tc>
          <w:tcPr>
            <w:tcW w:type="dxa" w:w="259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Cybersecurity overhang (OpenAI)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PANW 4.0% / CRWD 1.5% reaction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Persists from Apr 30 disclosure</w:t>
            </w:r>
          </w:p>
        </w:tc>
        <w:tc>
          <w:tcPr>
            <w:tcW w:type="dxa" w:w="187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OPEN — watch</w:t>
            </w:r>
          </w:p>
        </w:tc>
      </w:tr>
      <w:tr>
        <w:tc>
          <w:tcPr>
            <w:tcW w:type="dxa" w:w="259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ARM watchlist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Sustained close &lt;$130 + supply guidance update</w:t>
            </w:r>
          </w:p>
        </w:tc>
        <w:tc>
          <w:tcPr>
            <w:tcW w:type="dxa" w:w="3168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Trigger not met; still elevated MTD</w:t>
            </w:r>
          </w:p>
        </w:tc>
        <w:tc>
          <w:tcPr>
            <w:tcW w:type="dxa" w:w="1872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18"/>
              </w:rPr>
              <w:t>OPEN — defer</w:t>
            </w:r>
          </w:p>
        </w:tc>
      </w:tr>
    </w:tbl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6. Recommended Weight Changes (today)</w:t>
      </w:r>
    </w:p>
    <w:p>
      <w:pPr>
        <w:spacing w:before="40" w:after="40"/>
      </w:pPr>
      <w:r>
        <w:rPr>
          <w:rFonts w:ascii="Calibri" w:hAnsi="Calibri" w:cs="Calibri"/>
          <w:b/>
          <w:i w:val="0"/>
          <w:sz w:val="20"/>
        </w:rPr>
        <w:t xml:space="preserve">NONE TODAY. </w:t>
      </w:r>
      <w:r>
        <w:rPr>
          <w:rFonts w:ascii="Calibri" w:hAnsi="Calibri" w:cs="Calibri"/>
          <w:b w:val="0"/>
          <w:i w:val="0"/>
          <w:sz w:val="20"/>
        </w:rPr>
        <w:t>NFP +115k beat invalidates the conditional cash-deploy plan; no thesis-stop hits; no IPS breaches. WTI &lt;$90 trim trigger requires sustained close (Thu intraday $88.66 low did not confirm; Fri ~$94.87). Single-name max NVDA 6.5% (IPS cap 7.0%); sector max Technology ~33.5% (IPS cap 35.0%); cash 15.0% (mid-band).</w:t>
      </w:r>
    </w:p>
    <w:p>
      <w:pPr>
        <w:spacing w:before="0" w:after="120"/>
      </w:pPr>
      <w:r>
        <w:rPr>
          <w:rFonts w:ascii="Calibri" w:hAnsi="Calibri" w:cs="Calibri"/>
          <w:b w:val="0"/>
          <w:i/>
          <w:sz w:val="20"/>
        </w:rPr>
        <w:t>Portfolio weights total = 100.0% (verified). No re-balancing required pre-market.</w:t>
      </w:r>
    </w:p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7. Full Portfolio Table — 27 Positions + Cash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720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Ticker</w:t>
            </w:r>
          </w:p>
        </w:tc>
        <w:tc>
          <w:tcPr>
            <w:tcW w:type="dxa" w:w="1440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Weight %</w:t>
            </w:r>
          </w:p>
        </w:tc>
        <w:tc>
          <w:tcPr>
            <w:tcW w:type="dxa" w:w="6336"/>
            <w:shd w:val="clear" w:color="auto" w:fill="1F4E79"/>
            <w:tcBorders>
              <w:top w:val="single" w:sz="6" w:color="1F4E79"/>
              <w:bottom w:val="single" w:sz="6" w:color="1F4E79"/>
              <w:left w:val="single" w:sz="6" w:color="1F4E79"/>
              <w:right w:val="single" w:sz="6" w:color="1F4E79"/>
            </w:tcBorders>
            <w:vAlign w:val="center"/>
          </w:tcPr>
          <w:p>
            <w:pPr>
              <w:spacing w:before="40" w:after="4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Sector / Category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NVDA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6.5%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AI Infrastructure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AMZN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5.5%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Cloud / E-Commerce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META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Communication Services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LLY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Healthcare – Pharmaceuticals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JPM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Financials – Banking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AVGO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Semiconductors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MSFT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Enterprise Software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PANW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4.0%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Cybersecurity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ORCL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Cloud Database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QQQ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ETF – Nasdaq-100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GOOGL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Search / Cloud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PLTR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AI Software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UNH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Healthcare – Managed Care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XOM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Energy – Integrated Oil &amp; Gas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V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Financials – Payments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TSM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3.0%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Foundry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MU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Memory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VUG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ETF – Large-Cap Growth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SCHD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ETF – Dividend / Income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EOG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Energy – E&amp;P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COST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Consumer Staples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DASH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Consumer Discretionary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NEE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Utilities – Renewables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ABBV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Healthcare – Biotech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NFLX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Communication Services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CRWD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Cybersecurity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INTC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1.5%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Technology – Semiconductors</w:t>
            </w:r>
          </w:p>
        </w:tc>
      </w:tr>
      <w:tr>
        <w:tc>
          <w:tcPr>
            <w:tcW w:type="dxa" w:w="72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CASH</w:t>
            </w:r>
          </w:p>
        </w:tc>
        <w:tc>
          <w:tcPr>
            <w:tcW w:type="dxa" w:w="1440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15.0%</w:t>
            </w:r>
          </w:p>
        </w:tc>
        <w:tc>
          <w:tcPr>
            <w:tcW w:type="dxa" w:w="6336"/>
            <w:tcBorders>
              <w:top w:val="single" w:sz="4" w:color="BFBFBF"/>
              <w:bottom w:val="single" w:sz="4" w:color="BFBFBF"/>
              <w:left w:val="single" w:sz="4" w:color="BFBFBF"/>
              <w:right w:val="single" w:sz="4" w:color="BFBFBF"/>
            </w:tcBorders>
            <w:vAlign w:val="center"/>
          </w:tcPr>
          <w:p>
            <w:pPr>
              <w:spacing w:before="20" w:after="20"/>
            </w:pPr>
            <w:r/>
            <w:r>
              <w:rPr>
                <w:rFonts w:ascii="Calibri" w:hAnsi="Calibri" w:cs="Calibri"/>
                <w:b w:val="0"/>
                <w:i w:val="0"/>
                <w:color w:val="000000"/>
                <w:sz w:val="20"/>
              </w:rPr>
              <w:t>Cash &amp; Money Market Reserve</w:t>
            </w:r>
          </w:p>
        </w:tc>
      </w:tr>
    </w:tbl>
    <w:p>
      <w:pPr>
        <w:spacing w:before="80" w:after="120"/>
      </w:pPr>
      <w:r>
        <w:rPr>
          <w:rFonts w:ascii="Calibri" w:hAnsi="Calibri" w:cs="Calibri"/>
          <w:b/>
          <w:i w:val="0"/>
          <w:color w:val="0B6E3D"/>
          <w:sz w:val="20"/>
        </w:rPr>
        <w:t>Portfolio sum verified: 100.0% = 100.0% ✓</w:t>
      </w:r>
    </w:p>
    <w:p>
      <w:pPr>
        <w:pStyle w:val="Heading1"/>
        <w:spacing w:before="200" w:after="80"/>
      </w:pPr>
      <w:r>
        <w:rPr>
          <w:rFonts w:ascii="Calibri" w:hAnsi="Calibri" w:cs="Calibri"/>
          <w:b/>
          <w:i w:val="0"/>
          <w:color w:val="365F91"/>
          <w:sz w:val="28"/>
        </w:rPr>
        <w:t>8. Sources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S&amp;P 500 / Nasdaq / Futures: </w:t>
      </w:r>
      <w:r>
        <w:rPr>
          <w:rFonts w:ascii="Calibri" w:hAnsi="Calibri" w:cs="Calibri"/>
          <w:b w:val="0"/>
          <w:i w:val="0"/>
          <w:sz w:val="20"/>
        </w:rPr>
        <w:t>TheStreet, CNBC, Yahoo Finance, Investing.com (May 7–8,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April NFP (release): </w:t>
      </w:r>
      <w:r>
        <w:rPr>
          <w:rFonts w:ascii="Calibri" w:hAnsi="Calibri" w:cs="Calibri"/>
          <w:b w:val="0"/>
          <w:i w:val="0"/>
          <w:sz w:val="20"/>
        </w:rPr>
        <w:t>BLS, CNBC, TradingEconomics, Kiplinger (May 8,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WTI / Brent / Iran: </w:t>
      </w:r>
      <w:r>
        <w:rPr>
          <w:rFonts w:ascii="Calibri" w:hAnsi="Calibri" w:cs="Calibri"/>
          <w:b w:val="0"/>
          <w:i w:val="0"/>
          <w:sz w:val="20"/>
        </w:rPr>
        <w:t>CNBC, NewsX, Tradingeconomics (May 7–8,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Fed / FOMC: </w:t>
      </w:r>
      <w:r>
        <w:rPr>
          <w:rFonts w:ascii="Calibri" w:hAnsi="Calibri" w:cs="Calibri"/>
          <w:b w:val="0"/>
          <w:i w:val="0"/>
          <w:sz w:val="20"/>
        </w:rPr>
        <w:t>Federal Reserve FOMC statement (Apr 28–29,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NVDA: </w:t>
      </w:r>
      <w:r>
        <w:rPr>
          <w:rFonts w:ascii="Calibri" w:hAnsi="Calibri" w:cs="Calibri"/>
          <w:b w:val="0"/>
          <w:i w:val="0"/>
          <w:sz w:val="20"/>
        </w:rPr>
        <w:t>Yahoo Finance, Motley Fool, Public.com (May 7–8,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META: </w:t>
      </w:r>
      <w:r>
        <w:rPr>
          <w:rFonts w:ascii="Calibri" w:hAnsi="Calibri" w:cs="Calibri"/>
          <w:b w:val="0"/>
          <w:i w:val="0"/>
          <w:sz w:val="20"/>
        </w:rPr>
        <w:t>StockAnalysis, Investing.com, Sherwood News (May 7,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UNH: </w:t>
      </w:r>
      <w:r>
        <w:rPr>
          <w:rFonts w:ascii="Calibri" w:hAnsi="Calibri" w:cs="Calibri"/>
          <w:b w:val="0"/>
          <w:i w:val="0"/>
          <w:sz w:val="20"/>
        </w:rPr>
        <w:t>StockAnalysis, Yahoo Finance (May 7–8,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LLY (HSBC): </w:t>
      </w:r>
      <w:r>
        <w:rPr>
          <w:rFonts w:ascii="Calibri" w:hAnsi="Calibri" w:cs="Calibri"/>
          <w:b w:val="0"/>
          <w:i w:val="0"/>
          <w:sz w:val="20"/>
        </w:rPr>
        <w:t>CoinCentral, TheStreet, FiercePharma (Mar 17, 2026 — re-surfaced)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PLTR: </w:t>
      </w:r>
      <w:r>
        <w:rPr>
          <w:rFonts w:ascii="Calibri" w:hAnsi="Calibri" w:cs="Calibri"/>
          <w:b w:val="0"/>
          <w:i w:val="0"/>
          <w:sz w:val="20"/>
        </w:rPr>
        <w:t>TradingKey, Motley Fool (May 5–7,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ARM / SPOT / Watchlist: </w:t>
      </w:r>
      <w:r>
        <w:rPr>
          <w:rFonts w:ascii="Calibri" w:hAnsi="Calibri" w:cs="Calibri"/>
          <w:b w:val="0"/>
          <w:i w:val="0"/>
          <w:sz w:val="20"/>
        </w:rPr>
        <w:t>Yahoo Finance, TradingKey, Motley Fool (May 6–7, 2026)</w:t>
      </w:r>
    </w:p>
    <w:p>
      <w:pPr>
        <w:pStyle w:val="ListBullet"/>
        <w:spacing w:before="0" w:after="40"/>
      </w:pPr>
      <w:r>
        <w:rPr>
          <w:rFonts w:ascii="Calibri" w:hAnsi="Calibri" w:cs="Calibri"/>
          <w:b/>
          <w:i w:val="0"/>
          <w:sz w:val="20"/>
        </w:rPr>
        <w:t xml:space="preserve">Premarket movers: </w:t>
      </w:r>
      <w:r>
        <w:rPr>
          <w:rFonts w:ascii="Calibri" w:hAnsi="Calibri" w:cs="Calibri"/>
          <w:b w:val="0"/>
          <w:i w:val="0"/>
          <w:sz w:val="20"/>
        </w:rPr>
        <w:t>StockAnalysis, Investing.com (May 8, 2026)</w:t>
      </w:r>
    </w:p>
    <w:p>
      <w:pPr>
        <w:spacing w:before="200" w:after="0"/>
      </w:pPr>
      <w:r>
        <w:rPr>
          <w:rFonts w:ascii="Calibri" w:hAnsi="Calibri" w:cs="Calibri"/>
          <w:b/>
          <w:i/>
          <w:color w:val="777777"/>
          <w:sz w:val="16"/>
        </w:rPr>
        <w:t xml:space="preserve">DISCLAIMER: </w:t>
      </w:r>
      <w:r>
        <w:rPr>
          <w:rFonts w:ascii="Calibri" w:hAnsi="Calibri" w:cs="Calibri"/>
          <w:b w:val="0"/>
          <w:i/>
          <w:color w:val="777777"/>
          <w:sz w:val="16"/>
        </w:rPr>
        <w:t>Automated pre-market scan output. All prices, yields, and weights approximate and sourced from public financial data providers. Provenance tags: SOURCED = live/delayed market data at write time; CONFIRMED = aggregate provided by user / ground-truth tracker; CALIBRATED = fit-to-reconcile, not a substitute for sourced data. UNH tracker carry $510 vs market ~$370 is CALIBRATED pending reconciliation. NFP and pre-market futures levels are SOURCED indicative quotes and may move before close. IPS hard limits: single ≤7%, ETF ≤5%, sector ≤35%, cash 10–20%, no leverage / options / shorts. This document is for internal portfolio review only and does not constitute investment advice.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