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cs="Calibri"/>
          <w:b/>
          <w:color w:val="1A1A1A"/>
          <w:sz w:val="28"/>
        </w:rPr>
        <w:t>DAILY PRE-MARKET</w:t>
      </w:r>
    </w:p>
    <w:p>
      <w:pPr>
        <w:spacing w:before="0" w:after="0"/>
      </w:pPr>
      <w:r>
        <w:rPr>
          <w:rFonts w:ascii="Calibri" w:hAnsi="Calibri" w:cs="Calibri"/>
          <w:b/>
          <w:color w:val="1A1A1A"/>
          <w:sz w:val="22"/>
        </w:rPr>
        <w:t>WM Growth Portfolio</w:t>
      </w:r>
    </w:p>
    <w:p>
      <w:pPr>
        <w:spacing w:before="0" w:after="80"/>
        <w:pBdr>
          <w:bottom w:val="single" w:sz="6" w:space="1" w:color="B0B0B0"/>
        </w:pBdr>
      </w:pPr>
      <w:r>
        <w:rPr>
          <w:rFonts w:ascii="Calibri" w:hAnsi="Calibri" w:cs="Calibri"/>
          <w:b w:val="0"/>
          <w:color w:val="707070"/>
          <w:sz w:val="18"/>
        </w:rPr>
        <w:t>2026-05-05   |   IPS v1.0   |   Report v2.0 (grayscale institutional)</w:t>
      </w:r>
    </w:p>
    <w:p>
      <w:pPr>
        <w:spacing w:before="120" w:after="40"/>
        <w:pBdr>
          <w:bottom w:val="single" w:sz="6" w:space="1" w:color="B0B0B0"/>
        </w:pBdr>
      </w:pPr>
      <w:r>
        <w:rPr>
          <w:rFonts w:ascii="Calibri" w:hAnsi="Calibri" w:cs="Calibri"/>
          <w:b/>
          <w:color w:val="1A1A1A"/>
          <w:sz w:val="22"/>
        </w:rPr>
        <w:t>1. MARKET SNAPSHOT</w:t>
      </w:r>
    </w:p>
    <w:p>
      <w:pPr>
        <w:spacing w:before="0" w:after="40"/>
      </w:pPr>
      <w:r>
        <w:rPr>
          <w:rFonts w:ascii="Calibri" w:hAnsi="Calibri" w:cs="Calibri"/>
          <w:b w:val="0"/>
          <w:color w:val="1A1A1A"/>
          <w:sz w:val="20"/>
        </w:rPr>
        <w:t>Tuesday opens with modest risk-on. Iran-US ceasefire confirmed by Defense Sec Hegseth despite Mon UAE attacks; WTI gives back Mon's 4% spike. AI-capex digestion narrative continues post-MSFT/META capex raises. PLTR Q1 beat-and-raise printed last night AMC; AMD prints tonight. Apr NFP Fri (cons +165K vs prev +175K). Headline tape leadership: large-cap tech / data-center semis on AMD read-through.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3744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/>
                <w:color w:val="1A1A1A"/>
                <w:sz w:val="18"/>
              </w:rPr>
              <w:t>Indicator</w:t>
            </w:r>
          </w:p>
        </w:tc>
        <w:tc>
          <w:tcPr>
            <w:tcW w:type="dxa" w:w="1584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/>
                <w:color w:val="1A1A1A"/>
                <w:sz w:val="18"/>
              </w:rPr>
              <w:t>Level</w:t>
            </w:r>
          </w:p>
        </w:tc>
        <w:tc>
          <w:tcPr>
            <w:tcW w:type="dxa" w:w="4320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/>
                <w:color w:val="1A1A1A"/>
                <w:sz w:val="18"/>
              </w:rPr>
              <w:t>Move / Note</w:t>
            </w:r>
          </w:p>
        </w:tc>
        <w:tc>
          <w:tcPr>
            <w:tcW w:type="dxa" w:w="1152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/>
                <w:color w:val="1A1A1A"/>
                <w:sz w:val="18"/>
              </w:rPr>
              <w:t>Tag</w:t>
            </w:r>
          </w:p>
        </w:tc>
      </w:tr>
      <w:tr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S&amp;P 500 (Mon May 4 close)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7,182.91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-0.64% d/d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SOURCED</w:t>
            </w:r>
          </w:p>
        </w:tc>
      </w:tr>
      <w:tr>
        <w:tc>
          <w:tcPr>
            <w:tcW w:type="dxa" w:w="374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Nasdaq Composite (Mon close)</w:t>
            </w:r>
          </w:p>
        </w:tc>
        <w:tc>
          <w:tcPr>
            <w:tcW w:type="dxa" w:w="158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n/a</w:t>
            </w:r>
          </w:p>
        </w:tc>
        <w:tc>
          <w:tcPr>
            <w:tcW w:type="dxa" w:w="432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Mon weak; record streak paused</w:t>
            </w:r>
          </w:p>
        </w:tc>
        <w:tc>
          <w:tcPr>
            <w:tcW w:type="dxa" w:w="115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SOURCED</w:t>
            </w:r>
          </w:p>
        </w:tc>
      </w:tr>
      <w:tr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S&amp;P 500 e-minis (Tue pre-mkt 5:35 ET)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+0.33%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modest risk-on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SOURCED</w:t>
            </w:r>
          </w:p>
        </w:tc>
      </w:tr>
      <w:tr>
        <w:tc>
          <w:tcPr>
            <w:tcW w:type="dxa" w:w="374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Nasdaq 100 e-minis (Tue pre-mkt)</w:t>
            </w:r>
          </w:p>
        </w:tc>
        <w:tc>
          <w:tcPr>
            <w:tcW w:type="dxa" w:w="158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+0.58%</w:t>
            </w:r>
          </w:p>
        </w:tc>
        <w:tc>
          <w:tcPr>
            <w:tcW w:type="dxa" w:w="432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leading; AMD read-through</w:t>
            </w:r>
          </w:p>
        </w:tc>
        <w:tc>
          <w:tcPr>
            <w:tcW w:type="dxa" w:w="115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SOURCED</w:t>
            </w:r>
          </w:p>
        </w:tc>
      </w:tr>
      <w:tr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Russell 2000 e-minis (Tue pre-mkt)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+0.50%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small-cap participation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SOURCED</w:t>
            </w:r>
          </w:p>
        </w:tc>
      </w:tr>
      <w:tr>
        <w:tc>
          <w:tcPr>
            <w:tcW w:type="dxa" w:w="374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WTI crude (Tue intra-day)</w:t>
            </w:r>
          </w:p>
        </w:tc>
        <w:tc>
          <w:tcPr>
            <w:tcW w:type="dxa" w:w="158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$102.65</w:t>
            </w:r>
          </w:p>
        </w:tc>
        <w:tc>
          <w:tcPr>
            <w:tcW w:type="dxa" w:w="432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-3% d/d on ceasefire confirm</w:t>
            </w:r>
          </w:p>
        </w:tc>
        <w:tc>
          <w:tcPr>
            <w:tcW w:type="dxa" w:w="115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SOURCED</w:t>
            </w:r>
          </w:p>
        </w:tc>
      </w:tr>
      <w:tr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Brent crude (Tue intra-day)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$111.45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-2% d/d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SOURCED</w:t>
            </w:r>
          </w:p>
        </w:tc>
      </w:tr>
      <w:tr>
        <w:tc>
          <w:tcPr>
            <w:tcW w:type="dxa" w:w="3744"/>
            <w:shd w:val="clear" w:color="auto" w:fill="F6F6F6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Iran-US ceasefire status</w:t>
            </w:r>
          </w:p>
        </w:tc>
        <w:tc>
          <w:tcPr>
            <w:tcW w:type="dxa" w:w="1584"/>
            <w:shd w:val="clear" w:color="auto" w:fill="F6F6F6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HOLDING</w:t>
            </w:r>
          </w:p>
        </w:tc>
        <w:tc>
          <w:tcPr>
            <w:tcW w:type="dxa" w:w="4320"/>
            <w:shd w:val="clear" w:color="auto" w:fill="F6F6F6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Hegseth confirm; Hormuz traffic still curtailed</w:t>
            </w:r>
          </w:p>
        </w:tc>
        <w:tc>
          <w:tcPr>
            <w:tcW w:type="dxa" w:w="1152"/>
            <w:shd w:val="clear" w:color="auto" w:fill="F6F6F6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SOURCED</w:t>
            </w:r>
          </w:p>
        </w:tc>
      </w:tr>
    </w:tbl>
    <w:p>
      <w:pPr>
        <w:spacing w:before="120" w:after="40"/>
        <w:pBdr>
          <w:bottom w:val="single" w:sz="6" w:space="1" w:color="B0B0B0"/>
        </w:pBdr>
      </w:pPr>
      <w:r>
        <w:rPr>
          <w:rFonts w:ascii="Calibri" w:hAnsi="Calibri" w:cs="Calibri"/>
          <w:b/>
          <w:color w:val="1A1A1A"/>
          <w:sz w:val="22"/>
        </w:rPr>
        <w:t>2. SCAN 1 — HOLDINGS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008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/>
                <w:color w:val="1A1A1A"/>
                <w:sz w:val="18"/>
              </w:rPr>
              <w:t>Ticker</w:t>
            </w:r>
          </w:p>
        </w:tc>
        <w:tc>
          <w:tcPr>
            <w:tcW w:type="dxa" w:w="792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/>
                <w:color w:val="1A1A1A"/>
                <w:sz w:val="18"/>
              </w:rPr>
              <w:t>Wt %</w:t>
            </w:r>
          </w:p>
        </w:tc>
        <w:tc>
          <w:tcPr>
            <w:tcW w:type="dxa" w:w="7776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/>
                <w:color w:val="1A1A1A"/>
                <w:sz w:val="18"/>
              </w:rPr>
              <w:t>Headline / Catalyst</w:t>
            </w:r>
          </w:p>
        </w:tc>
        <w:tc>
          <w:tcPr>
            <w:tcW w:type="dxa" w:w="1224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/>
                <w:color w:val="1A1A1A"/>
                <w:sz w:val="18"/>
              </w:rPr>
              <w:t>Action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PLTR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3.0</w:t>
            </w:r>
          </w:p>
        </w:tc>
        <w:tc>
          <w:tcPr>
            <w:tcW w:type="dxa" w:w="77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Q1 (May 4 AMC) beat: rev $1.63B (+85%) vs $1.54B; Adj EPS $0.33 vs $0.28e. Q2 guide $1.80B (+7.4% above cons). FY26 raised to $7.65–7.66B (+71%). US Commercial +130% to $595M.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XOM</w:t>
            </w:r>
          </w:p>
        </w:tc>
        <w:tc>
          <w:tcPr>
            <w:tcW w:type="dxa" w:w="79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3.0</w:t>
            </w:r>
          </w:p>
        </w:tc>
        <w:tc>
          <w:tcPr>
            <w:tcW w:type="dxa" w:w="77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Q1 reported May 1 (ex-items EPS $1.16 / ex-timing $2.09). WTI -3% Tue on ceasefire confirm; still $100+. No new XOM-specific catalyst.</w:t>
            </w:r>
          </w:p>
        </w:tc>
        <w:tc>
          <w:tcPr>
            <w:tcW w:type="dxa" w:w="122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EOG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2.5</w:t>
            </w:r>
          </w:p>
        </w:tc>
        <w:tc>
          <w:tcPr>
            <w:tcW w:type="dxa" w:w="77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Q1 prints today (May 5 AMC); call May 6 BMO. Cons EPS $3.21 / rev $6.06B; Zacks $3.05 / $6.2B. Last 4 quarters beat avg +6.1%.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HOLD-CATALYST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NVDA</w:t>
            </w:r>
          </w:p>
        </w:tc>
        <w:tc>
          <w:tcPr>
            <w:tcW w:type="dxa" w:w="79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6.5</w:t>
            </w:r>
          </w:p>
        </w:tc>
        <w:tc>
          <w:tcPr>
            <w:tcW w:type="dxa" w:w="77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Stable pre-mkt after AI-capex digestion week. Earnings May 20 = next marquee catalyst. AMD print tonight = read-through.</w:t>
            </w:r>
          </w:p>
        </w:tc>
        <w:tc>
          <w:tcPr>
            <w:tcW w:type="dxa" w:w="122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AVGO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4.0</w:t>
            </w:r>
          </w:p>
        </w:tc>
        <w:tc>
          <w:tcPr>
            <w:tcW w:type="dxa" w:w="77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AI ASIC narrative intact; Mon weakness on AMD/HSBC valuation. AMD AMC read-through pivotal.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TSM</w:t>
            </w:r>
          </w:p>
        </w:tc>
        <w:tc>
          <w:tcPr>
            <w:tcW w:type="dxa" w:w="79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3.0</w:t>
            </w:r>
          </w:p>
        </w:tc>
        <w:tc>
          <w:tcPr>
            <w:tcW w:type="dxa" w:w="77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Q2 guide $39–40.2B intact; Q1 net inc +58.3% YoY confirmed. AMD read-through positive on data-center beat.</w:t>
            </w:r>
          </w:p>
        </w:tc>
        <w:tc>
          <w:tcPr>
            <w:tcW w:type="dxa" w:w="122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MU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2.5</w:t>
            </w:r>
          </w:p>
        </w:tc>
        <w:tc>
          <w:tcPr>
            <w:tcW w:type="dxa" w:w="77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HBM3E demand intact; AMD MI325 ramp = secondary HBM read-through.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ORCL</w:t>
            </w:r>
          </w:p>
        </w:tc>
        <w:tc>
          <w:tcPr>
            <w:tcW w:type="dxa" w:w="79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3.5</w:t>
            </w:r>
          </w:p>
        </w:tc>
        <w:tc>
          <w:tcPr>
            <w:tcW w:type="dxa" w:w="77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Still digesting OpenAI/Stargate concentration narrative; no Tue-specific catalyst.</w:t>
            </w:r>
          </w:p>
        </w:tc>
        <w:tc>
          <w:tcPr>
            <w:tcW w:type="dxa" w:w="122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MSFT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4.0</w:t>
            </w:r>
          </w:p>
        </w:tc>
        <w:tc>
          <w:tcPr>
            <w:tcW w:type="dxa" w:w="77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Q3 FY26 beat already cleared (Apr 29); capex digestion absorbed.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AMZN</w:t>
            </w:r>
          </w:p>
        </w:tc>
        <w:tc>
          <w:tcPr>
            <w:tcW w:type="dxa" w:w="79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5.5</w:t>
            </w:r>
          </w:p>
        </w:tc>
        <w:tc>
          <w:tcPr>
            <w:tcW w:type="dxa" w:w="77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AWS reaccel confirmed (+28%); position appropriate.</w:t>
            </w:r>
          </w:p>
        </w:tc>
        <w:tc>
          <w:tcPr>
            <w:tcW w:type="dxa" w:w="122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GOOGL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3.0</w:t>
            </w:r>
          </w:p>
        </w:tc>
        <w:tc>
          <w:tcPr>
            <w:tcW w:type="dxa" w:w="77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GCP +28% Q1 cleared; capex compute-constrained narrative supportive.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META</w:t>
            </w:r>
          </w:p>
        </w:tc>
        <w:tc>
          <w:tcPr>
            <w:tcW w:type="dxa" w:w="79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4.5</w:t>
            </w:r>
          </w:p>
        </w:tc>
        <w:tc>
          <w:tcPr>
            <w:tcW w:type="dxa" w:w="77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Capex raise digested; ad cycle ROI lag widens but thesis intact.</w:t>
            </w:r>
          </w:p>
        </w:tc>
        <w:tc>
          <w:tcPr>
            <w:tcW w:type="dxa" w:w="122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JPM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4.5</w:t>
            </w:r>
          </w:p>
        </w:tc>
        <w:tc>
          <w:tcPr>
            <w:tcW w:type="dxa" w:w="77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No Tue-specific catalyst. Erste UNH-related read-through (PT $420 from $389) is franchise activity, not direct.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V</w:t>
            </w:r>
          </w:p>
        </w:tc>
        <w:tc>
          <w:tcPr>
            <w:tcW w:type="dxa" w:w="79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3.0</w:t>
            </w:r>
          </w:p>
        </w:tc>
        <w:tc>
          <w:tcPr>
            <w:tcW w:type="dxa" w:w="77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Q2 cleared Apr 28 (+5.2% post-print) with $20B buyback + raised guide. PYPL guide-down has no direct read-through.</w:t>
            </w:r>
          </w:p>
        </w:tc>
        <w:tc>
          <w:tcPr>
            <w:tcW w:type="dxa" w:w="122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LLY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4.5</w:t>
            </w:r>
          </w:p>
        </w:tc>
        <w:tc>
          <w:tcPr>
            <w:tcW w:type="dxa" w:w="77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Q1 (Apr 30) +9% on big beat; FY26 guide $82–85B. Original add-trigger ($920) overrun upward; reset rule.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UNH</w:t>
            </w:r>
          </w:p>
        </w:tc>
        <w:tc>
          <w:tcPr>
            <w:tcW w:type="dxa" w:w="79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3.0</w:t>
            </w:r>
          </w:p>
        </w:tc>
        <w:tc>
          <w:tcPr>
            <w:tcW w:type="dxa" w:w="77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Market price ~$370 vs tracker carry $510 — reconciliation FLAG carries to next session. JPM PT $420 from $389; Erste upgrade.</w:t>
            </w:r>
          </w:p>
        </w:tc>
        <w:tc>
          <w:tcPr>
            <w:tcW w:type="dxa" w:w="122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FLAG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ABBV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1.5</w:t>
            </w:r>
          </w:p>
        </w:tc>
        <w:tc>
          <w:tcPr>
            <w:tcW w:type="dxa" w:w="77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Q1 (Apr 30) beat (+3.5%); Skyrizi/Rinvoq compounding. PFE +2.2% Tue read-through neutral-positive.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PANW</w:t>
            </w:r>
          </w:p>
        </w:tc>
        <w:tc>
          <w:tcPr>
            <w:tcW w:type="dxa" w:w="79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4.0</w:t>
            </w:r>
          </w:p>
        </w:tc>
        <w:tc>
          <w:tcPr>
            <w:tcW w:type="dxa" w:w="77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AI Gateway + Portkey acquisition (Apr 30). OpenAI in-platform-security overhang persists.</w:t>
            </w:r>
          </w:p>
        </w:tc>
        <w:tc>
          <w:tcPr>
            <w:tcW w:type="dxa" w:w="122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CRWD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1.5</w:t>
            </w:r>
          </w:p>
        </w:tc>
        <w:tc>
          <w:tcPr>
            <w:tcW w:type="dxa" w:w="77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Recovered to $445.75 from $361 low; OpenAI overhang shared with PANW.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INTC</w:t>
            </w:r>
          </w:p>
        </w:tc>
        <w:tc>
          <w:tcPr>
            <w:tcW w:type="dxa" w:w="79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1.5</w:t>
            </w:r>
          </w:p>
        </w:tc>
        <w:tc>
          <w:tcPr>
            <w:tcW w:type="dxa" w:w="77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Position +20%+ since Apr 24 entry; thesis (Q1 beat + 18A) intact.</w:t>
            </w:r>
          </w:p>
        </w:tc>
        <w:tc>
          <w:tcPr>
            <w:tcW w:type="dxa" w:w="122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NFLX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1.5</w:t>
            </w:r>
          </w:p>
        </w:tc>
        <w:tc>
          <w:tcPr>
            <w:tcW w:type="dxa" w:w="77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No Tue catalyst.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DASH</w:t>
            </w:r>
          </w:p>
        </w:tc>
        <w:tc>
          <w:tcPr>
            <w:tcW w:type="dxa" w:w="79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2.0</w:t>
            </w:r>
          </w:p>
        </w:tc>
        <w:tc>
          <w:tcPr>
            <w:tcW w:type="dxa" w:w="77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No Tue catalyst.</w:t>
            </w:r>
          </w:p>
        </w:tc>
        <w:tc>
          <w:tcPr>
            <w:tcW w:type="dxa" w:w="122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COST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2.5</w:t>
            </w:r>
          </w:p>
        </w:tc>
        <w:tc>
          <w:tcPr>
            <w:tcW w:type="dxa" w:w="77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No Tue catalyst.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NEE</w:t>
            </w:r>
          </w:p>
        </w:tc>
        <w:tc>
          <w:tcPr>
            <w:tcW w:type="dxa" w:w="79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2.0</w:t>
            </w:r>
          </w:p>
        </w:tc>
        <w:tc>
          <w:tcPr>
            <w:tcW w:type="dxa" w:w="77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No Tue catalyst; rate-sensitive (NFP Fri).</w:t>
            </w:r>
          </w:p>
        </w:tc>
        <w:tc>
          <w:tcPr>
            <w:tcW w:type="dxa" w:w="122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QQQ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3.5</w:t>
            </w:r>
          </w:p>
        </w:tc>
        <w:tc>
          <w:tcPr>
            <w:tcW w:type="dxa" w:w="77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Tracking Nasdaq leadership pre-mkt.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VUG</w:t>
            </w:r>
          </w:p>
        </w:tc>
        <w:tc>
          <w:tcPr>
            <w:tcW w:type="dxa" w:w="79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2.5</w:t>
            </w:r>
          </w:p>
        </w:tc>
        <w:tc>
          <w:tcPr>
            <w:tcW w:type="dxa" w:w="77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Mirroring large-cap growth tape.</w:t>
            </w:r>
          </w:p>
        </w:tc>
        <w:tc>
          <w:tcPr>
            <w:tcW w:type="dxa" w:w="122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SCHD</w:t>
            </w:r>
          </w:p>
        </w:tc>
        <w:tc>
          <w:tcPr>
            <w:tcW w:type="dxa" w:w="792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2.5</w:t>
            </w:r>
          </w:p>
        </w:tc>
        <w:tc>
          <w:tcPr>
            <w:tcW w:type="dxa" w:w="7776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Defensive ballast.</w:t>
            </w:r>
          </w:p>
        </w:tc>
        <w:tc>
          <w:tcPr>
            <w:tcW w:type="dxa" w:w="1224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HOLD</w:t>
            </w:r>
          </w:p>
        </w:tc>
      </w:tr>
    </w:tbl>
    <w:p>
      <w:pPr>
        <w:spacing w:before="120" w:after="40"/>
        <w:pBdr>
          <w:bottom w:val="single" w:sz="6" w:space="1" w:color="B0B0B0"/>
        </w:pBdr>
      </w:pPr>
      <w:r>
        <w:rPr>
          <w:rFonts w:ascii="Calibri" w:hAnsi="Calibri" w:cs="Calibri"/>
          <w:b/>
          <w:color w:val="1A1A1A"/>
          <w:sz w:val="22"/>
        </w:rPr>
        <w:t>3. SCAN 2 — WATCHLIST OPPORTUNITIES</w:t>
      </w:r>
    </w:p>
    <w:p>
      <w:pPr>
        <w:spacing w:before="0" w:after="40"/>
      </w:pPr>
      <w:r>
        <w:rPr>
          <w:rFonts w:ascii="Calibri" w:hAnsi="Calibri" w:cs="Calibri"/>
          <w:b w:val="0"/>
          <w:color w:val="1A1A1A"/>
          <w:sz w:val="20"/>
        </w:rPr>
        <w:t>No new entry today. Cash at hard floor (15.0%). Three reviewed below; each carries confidence + size + entry trigger + price stop + thesis stop + pre-mortem per IPS §5.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864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/>
                <w:color w:val="1A1A1A"/>
                <w:sz w:val="18"/>
              </w:rPr>
              <w:t>Ticker</w:t>
            </w:r>
          </w:p>
        </w:tc>
        <w:tc>
          <w:tcPr>
            <w:tcW w:type="dxa" w:w="720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/>
                <w:color w:val="1A1A1A"/>
                <w:sz w:val="18"/>
              </w:rPr>
              <w:t>Conf.</w:t>
            </w:r>
          </w:p>
        </w:tc>
        <w:tc>
          <w:tcPr>
            <w:tcW w:type="dxa" w:w="720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/>
                <w:color w:val="1A1A1A"/>
                <w:sz w:val="18"/>
              </w:rPr>
              <w:t>Size</w:t>
            </w:r>
          </w:p>
        </w:tc>
        <w:tc>
          <w:tcPr>
            <w:tcW w:type="dxa" w:w="3168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/>
                <w:color w:val="1A1A1A"/>
                <w:sz w:val="18"/>
              </w:rPr>
              <w:t>Entry trigger</w:t>
            </w:r>
          </w:p>
        </w:tc>
        <w:tc>
          <w:tcPr>
            <w:tcW w:type="dxa" w:w="1296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/>
                <w:color w:val="1A1A1A"/>
                <w:sz w:val="18"/>
              </w:rPr>
              <w:t>Price stop</w:t>
            </w:r>
          </w:p>
        </w:tc>
        <w:tc>
          <w:tcPr>
            <w:tcW w:type="dxa" w:w="2160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/>
                <w:color w:val="1A1A1A"/>
                <w:sz w:val="18"/>
              </w:rPr>
              <w:t>Thesis stop</w:t>
            </w:r>
          </w:p>
        </w:tc>
        <w:tc>
          <w:tcPr>
            <w:tcW w:type="dxa" w:w="1872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/>
                <w:color w:val="1A1A1A"/>
                <w:sz w:val="18"/>
              </w:rPr>
              <w:t>Pre-mortem</w:t>
            </w:r>
          </w:p>
        </w:tc>
      </w:tr>
      <w:t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SPOT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MED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1.5%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Re-trigger only on close &lt;$650 (Apr 28 print: ad weakness despite EPS beat ambiguates earlier rule).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$610 (-6%)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Ad-rev growth &lt;8% YoY for two quarters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Wrong if podcast/ad flywheel decouples from Premium FCF.</w:t>
            </w:r>
          </w:p>
        </w:tc>
      </w:tr>
      <w:tr>
        <w:tc>
          <w:tcPr>
            <w:tcW w:type="dxa" w:w="86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ARM</w:t>
            </w:r>
          </w:p>
        </w:tc>
        <w:tc>
          <w:tcPr>
            <w:tcW w:type="dxa" w:w="72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LOW</w:t>
            </w:r>
          </w:p>
        </w:tc>
        <w:tc>
          <w:tcPr>
            <w:tcW w:type="dxa" w:w="72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1.0%</w:t>
            </w:r>
          </w:p>
        </w:tc>
        <w:tc>
          <w:tcPr>
            <w:tcW w:type="dxa" w:w="316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Defer until Wed May 6 AMC print; enter only on post-print pullback &gt;8% AND royalty rev guide hold.</w:t>
            </w:r>
          </w:p>
        </w:tc>
        <w:tc>
          <w:tcPr>
            <w:tcW w:type="dxa" w:w="129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$118 ( -10% from $130)</w:t>
            </w:r>
          </w:p>
        </w:tc>
        <w:tc>
          <w:tcPr>
            <w:tcW w:type="dxa" w:w="216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AI-edge royalty rev &lt;30% YoY next print</w:t>
            </w:r>
          </w:p>
        </w:tc>
        <w:tc>
          <w:tcPr>
            <w:tcW w:type="dxa" w:w="187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Wrong if AI edge cycle disappoints sequentially.</w:t>
            </w:r>
          </w:p>
        </w:tc>
      </w:tr>
      <w:tr>
        <w:tc>
          <w:tcPr>
            <w:tcW w:type="dxa" w:w="864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AMD</w:t>
            </w:r>
          </w:p>
        </w:tc>
        <w:tc>
          <w:tcPr>
            <w:tcW w:type="dxa" w:w="720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LOW</w:t>
            </w:r>
          </w:p>
        </w:tc>
        <w:tc>
          <w:tcPr>
            <w:tcW w:type="dxa" w:w="720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1.0%</w:t>
            </w:r>
          </w:p>
        </w:tc>
        <w:tc>
          <w:tcPr>
            <w:tcW w:type="dxa" w:w="3168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Reactive: post-tonight print, enter only if data-center beat + GM ≥55% confirmed AND post-print -5%.</w:t>
            </w:r>
          </w:p>
        </w:tc>
        <w:tc>
          <w:tcPr>
            <w:tcW w:type="dxa" w:w="1296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-10% from entry</w:t>
            </w:r>
          </w:p>
        </w:tc>
        <w:tc>
          <w:tcPr>
            <w:tcW w:type="dxa" w:w="2160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Non-GAAP GM &lt;53% next quarter</w:t>
            </w:r>
          </w:p>
        </w:tc>
        <w:tc>
          <w:tcPr>
            <w:tcW w:type="dxa" w:w="1872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Wrong if MI325 ramp slips AND data-center share reverts to NVDA.</w:t>
            </w:r>
          </w:p>
        </w:tc>
      </w:tr>
    </w:tbl>
    <w:p>
      <w:pPr>
        <w:spacing w:before="120" w:after="40"/>
        <w:pBdr>
          <w:bottom w:val="single" w:sz="6" w:space="1" w:color="B0B0B0"/>
        </w:pBdr>
      </w:pPr>
      <w:r>
        <w:rPr>
          <w:rFonts w:ascii="Calibri" w:hAnsi="Calibri" w:cs="Calibri"/>
          <w:b/>
          <w:color w:val="1A1A1A"/>
          <w:sz w:val="22"/>
        </w:rPr>
        <w:t>4. CASH RECOMMENDATION</w:t>
      </w:r>
    </w:p>
    <w:p>
      <w:pPr>
        <w:spacing w:before="0" w:after="40"/>
      </w:pPr>
      <w:r>
        <w:rPr>
          <w:rFonts w:ascii="Calibri" w:hAnsi="Calibri" w:cs="Calibri"/>
          <w:b w:val="0"/>
          <w:color w:val="1A1A1A"/>
          <w:sz w:val="20"/>
        </w:rPr>
        <w:t>Pre-action cash 15.0% [CONFIRMED via Holdings tracker]. At hard floor. Recommendation: HOLD 15.0%. Rationale: AMD/EOG/ARM binary catalysts cluster Tue–Wed AMC; April NFP Fri; Iran ceasefire 'holding' but headline-fragile. No add capacity; reactive posture preserved. Headroom: 0% to floor, +5.0% to ceiling.</w:t>
      </w:r>
    </w:p>
    <w:p>
      <w:pPr>
        <w:spacing w:before="120" w:after="40"/>
        <w:pBdr>
          <w:bottom w:val="single" w:sz="6" w:space="1" w:color="B0B0B0"/>
        </w:pBdr>
      </w:pPr>
      <w:r>
        <w:rPr>
          <w:rFonts w:ascii="Calibri" w:hAnsi="Calibri" w:cs="Calibri"/>
          <w:b/>
          <w:color w:val="1A1A1A"/>
          <w:sz w:val="22"/>
        </w:rPr>
        <w:t>5. PENDING CATALYSTS (NEXT 5 SESSIONS)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/>
                <w:color w:val="1A1A1A"/>
                <w:sz w:val="18"/>
              </w:rPr>
              <w:t>Date</w:t>
            </w:r>
          </w:p>
        </w:tc>
        <w:tc>
          <w:tcPr>
            <w:tcW w:type="dxa" w:w="2880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/>
                <w:color w:val="1A1A1A"/>
                <w:sz w:val="18"/>
              </w:rPr>
              <w:t>Item</w:t>
            </w:r>
          </w:p>
        </w:tc>
        <w:tc>
          <w:tcPr>
            <w:tcW w:type="dxa" w:w="5472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/>
                <w:color w:val="1A1A1A"/>
                <w:sz w:val="18"/>
              </w:rPr>
              <w:t>Status / read-through</w:t>
            </w:r>
          </w:p>
        </w:tc>
      </w:tr>
      <w:tr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Tue May 5 (today, AMC)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AMD Q1 print</w:t>
            </w:r>
          </w:p>
        </w:tc>
        <w:tc>
          <w:tcPr>
            <w:tcW w:type="dxa" w:w="547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Not held. Read-through to AVGO/NVDA/TSM/MU on data-center beat + 55% GM hold.</w:t>
            </w:r>
          </w:p>
        </w:tc>
      </w:tr>
      <w:tr>
        <w:tc>
          <w:tcPr>
            <w:tcW w:type="dxa" w:w="244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Tue May 5 (today, AMC)</w:t>
            </w:r>
          </w:p>
        </w:tc>
        <w:tc>
          <w:tcPr>
            <w:tcW w:type="dxa" w:w="288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EOG Q1 print</w:t>
            </w:r>
          </w:p>
        </w:tc>
        <w:tc>
          <w:tcPr>
            <w:tcW w:type="dxa" w:w="547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Held 2.5%. Cons EPS $3.21 / rev $6.06B; last 4 beats avg +6.1%.</w:t>
            </w:r>
          </w:p>
        </w:tc>
      </w:tr>
      <w:tr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Tue May 5 (today, AMC)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OXY / PFE / PYPL / ANET</w:t>
            </w:r>
          </w:p>
        </w:tc>
        <w:tc>
          <w:tcPr>
            <w:tcW w:type="dxa" w:w="547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Cluster prints; ANET = AI-networking read-through. PYPL pre-mkt -10% on weak Q2 guide; PFE +2.2%.</w:t>
            </w:r>
          </w:p>
        </w:tc>
      </w:tr>
      <w:tr>
        <w:tc>
          <w:tcPr>
            <w:tcW w:type="dxa" w:w="244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Wed May 6 (AMC)</w:t>
            </w:r>
          </w:p>
        </w:tc>
        <w:tc>
          <w:tcPr>
            <w:tcW w:type="dxa" w:w="288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ARM Q4 print</w:t>
            </w:r>
          </w:p>
        </w:tc>
        <w:tc>
          <w:tcPr>
            <w:tcW w:type="dxa" w:w="547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Watchlist (LOW pre-print). Defer entry to post-print reaction.</w:t>
            </w:r>
          </w:p>
        </w:tc>
      </w:tr>
      <w:tr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Thu May 7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Weekly perf report due</w:t>
            </w:r>
          </w:p>
        </w:tc>
        <w:tc>
          <w:tcPr>
            <w:tcW w:type="dxa" w:w="547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2-page format; SP3 starting May 4; risk-metrics + Brinson-Fachler.</w:t>
            </w:r>
          </w:p>
        </w:tc>
      </w:tr>
      <w:tr>
        <w:tc>
          <w:tcPr>
            <w:tcW w:type="dxa" w:w="244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Fri May 8 (08:30 ET)</w:t>
            </w:r>
          </w:p>
        </w:tc>
        <w:tc>
          <w:tcPr>
            <w:tcW w:type="dxa" w:w="288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April NFP + unemployment</w:t>
            </w:r>
          </w:p>
        </w:tc>
        <w:tc>
          <w:tcPr>
            <w:tcW w:type="dxa" w:w="547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Cons +165K vs prev +175K. Rate-sensitive watch for NEE/JPM/V.</w:t>
            </w:r>
          </w:p>
        </w:tc>
      </w:tr>
      <w:tr>
        <w:tc>
          <w:tcPr>
            <w:tcW w:type="dxa" w:w="2448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Wed May 20 (AMC)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NVDA Q1 print</w:t>
            </w:r>
          </w:p>
        </w:tc>
        <w:tc>
          <w:tcPr>
            <w:tcW w:type="dxa" w:w="5472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Marquee catalyst. Position at 6.5% IPS single-name cap; no add capacity.</w:t>
            </w:r>
          </w:p>
        </w:tc>
      </w:tr>
    </w:tbl>
    <w:p>
      <w:pPr>
        <w:spacing w:before="120" w:after="40"/>
        <w:pBdr>
          <w:bottom w:val="single" w:sz="6" w:space="1" w:color="B0B0B0"/>
        </w:pBdr>
      </w:pPr>
      <w:r>
        <w:rPr>
          <w:rFonts w:ascii="Calibri" w:hAnsi="Calibri" w:cs="Calibri"/>
          <w:b/>
          <w:color w:val="1A1A1A"/>
          <w:sz w:val="22"/>
        </w:rPr>
        <w:t>6. RECOMMENDED WEIGHT CHANGES</w:t>
      </w:r>
    </w:p>
    <w:p>
      <w:pPr>
        <w:spacing w:before="0" w:after="40"/>
      </w:pPr>
      <w:r>
        <w:rPr>
          <w:rFonts w:ascii="Calibri" w:hAnsi="Calibri" w:cs="Calibri"/>
          <w:b w:val="0"/>
          <w:color w:val="1A1A1A"/>
          <w:sz w:val="20"/>
        </w:rPr>
        <w:t>No weight changes today. 27 positions + 15.0% cash = 100.0%. PLTR beat-and-raise digested at 3.0% (no add capacity); AMD/EOG binary tonight argue against pre-event repositioning; cybersecurity overhang from OpenAI in-platform feature still flagged but thesis intact for PANW/CRWD; UNH market-vs-carry reconciliation deferred to next tracker refresh. Reactive posture for Wed open.</w:t>
      </w:r>
    </w:p>
    <w:p>
      <w:pPr>
        <w:spacing w:before="120" w:after="40"/>
        <w:pBdr>
          <w:bottom w:val="single" w:sz="6" w:space="1" w:color="B0B0B0"/>
        </w:pBdr>
      </w:pPr>
      <w:r>
        <w:rPr>
          <w:rFonts w:ascii="Calibri" w:hAnsi="Calibri" w:cs="Calibri"/>
          <w:b/>
          <w:color w:val="1A1A1A"/>
          <w:sz w:val="22"/>
        </w:rPr>
        <w:t>7. FULL PORTFOLIO — CURRENT WEIGHTS [CONFIRMED]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576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/>
                <w:color w:val="1A1A1A"/>
                <w:sz w:val="18"/>
              </w:rPr>
              <w:t>#</w:t>
            </w:r>
          </w:p>
        </w:tc>
        <w:tc>
          <w:tcPr>
            <w:tcW w:type="dxa" w:w="1008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/>
                <w:color w:val="1A1A1A"/>
                <w:sz w:val="18"/>
              </w:rPr>
              <w:t>Ticker</w:t>
            </w:r>
          </w:p>
        </w:tc>
        <w:tc>
          <w:tcPr>
            <w:tcW w:type="dxa" w:w="7200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/>
                <w:color w:val="1A1A1A"/>
                <w:sz w:val="18"/>
              </w:rPr>
              <w:t>Sector / Theme</w:t>
            </w:r>
          </w:p>
        </w:tc>
        <w:tc>
          <w:tcPr>
            <w:tcW w:type="dxa" w:w="1008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/>
                <w:color w:val="1A1A1A"/>
                <w:sz w:val="18"/>
              </w:rPr>
              <w:t>Wt %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NVDA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Technology — AI Infrastructure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6.5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AMZN</w:t>
            </w:r>
          </w:p>
        </w:tc>
        <w:tc>
          <w:tcPr>
            <w:tcW w:type="dxa" w:w="72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Technology — Cloud / E-Commerce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5.5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META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Communication Services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4.5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LLY</w:t>
            </w:r>
          </w:p>
        </w:tc>
        <w:tc>
          <w:tcPr>
            <w:tcW w:type="dxa" w:w="72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Healthcare — Pharmaceuticals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4.5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JPM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Financials — Banking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4.5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AVGO</w:t>
            </w:r>
          </w:p>
        </w:tc>
        <w:tc>
          <w:tcPr>
            <w:tcW w:type="dxa" w:w="72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Technology — Semiconductors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4.0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MSFT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Technology — Enterprise Software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4.0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PANW</w:t>
            </w:r>
          </w:p>
        </w:tc>
        <w:tc>
          <w:tcPr>
            <w:tcW w:type="dxa" w:w="72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Technology — Cybersecurity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4.0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9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ORCL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Technology — Cloud Database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3.5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10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QQQ</w:t>
            </w:r>
          </w:p>
        </w:tc>
        <w:tc>
          <w:tcPr>
            <w:tcW w:type="dxa" w:w="72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ETF — Nasdaq-100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3.5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11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GOOGL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Technology — Search / Cloud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3.0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12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PLTR</w:t>
            </w:r>
          </w:p>
        </w:tc>
        <w:tc>
          <w:tcPr>
            <w:tcW w:type="dxa" w:w="72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Technology — AI Software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3.0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13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UNH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Healthcare — Managed Care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3.0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14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XOM</w:t>
            </w:r>
          </w:p>
        </w:tc>
        <w:tc>
          <w:tcPr>
            <w:tcW w:type="dxa" w:w="72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Energy — Integrated Oil &amp; Gas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3.0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15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V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Financials — Payments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3.0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16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TSM</w:t>
            </w:r>
          </w:p>
        </w:tc>
        <w:tc>
          <w:tcPr>
            <w:tcW w:type="dxa" w:w="72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Technology — Foundry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3.0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17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VUG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ETF — Large-Cap Growth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2.5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18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SCHD</w:t>
            </w:r>
          </w:p>
        </w:tc>
        <w:tc>
          <w:tcPr>
            <w:tcW w:type="dxa" w:w="72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ETF — Dividend / Income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2.5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19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MU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Technology — Memory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2.5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20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EOG</w:t>
            </w:r>
          </w:p>
        </w:tc>
        <w:tc>
          <w:tcPr>
            <w:tcW w:type="dxa" w:w="72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Energy — E&amp;P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2.5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21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COST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Consumer Staples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2.5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22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DASH</w:t>
            </w:r>
          </w:p>
        </w:tc>
        <w:tc>
          <w:tcPr>
            <w:tcW w:type="dxa" w:w="72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Consumer Discretionary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2.0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23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NEE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Utilities — Renewables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2.0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24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ABBV</w:t>
            </w:r>
          </w:p>
        </w:tc>
        <w:tc>
          <w:tcPr>
            <w:tcW w:type="dxa" w:w="72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Healthcare — Biotech / Pharma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1.5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25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NFLX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Communication Services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1.5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26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CRWD</w:t>
            </w:r>
          </w:p>
        </w:tc>
        <w:tc>
          <w:tcPr>
            <w:tcW w:type="dxa" w:w="72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Technology — Cybersecurity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1.5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27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INTC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Technology — Semiconductors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1.5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CASH</w:t>
            </w:r>
          </w:p>
        </w:tc>
        <w:tc>
          <w:tcPr>
            <w:tcW w:type="dxa" w:w="72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Cash &amp; Equivalents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15.0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</w:r>
          </w:p>
        </w:tc>
        <w:tc>
          <w:tcPr>
            <w:tcW w:type="dxa" w:w="1008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TOTAL</w:t>
            </w:r>
          </w:p>
        </w:tc>
        <w:tc>
          <w:tcPr>
            <w:tcW w:type="dxa" w:w="7200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color w:val="1A1A1A"/>
                <w:sz w:val="18"/>
              </w:rPr>
              <w:t>27 Positions + Cash</w:t>
            </w:r>
          </w:p>
        </w:tc>
        <w:tc>
          <w:tcPr>
            <w:tcW w:type="dxa" w:w="1008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color w:val="1A1A1A"/>
                <w:sz w:val="18"/>
              </w:rPr>
              <w:t>100.0</w:t>
            </w:r>
          </w:p>
        </w:tc>
      </w:tr>
    </w:tbl>
    <w:p>
      <w:pPr>
        <w:spacing w:before="80" w:after="40"/>
      </w:pPr>
      <w:r>
        <w:rPr>
          <w:rFonts w:ascii="Calibri" w:hAnsi="Calibri" w:cs="Calibri"/>
          <w:b w:val="0"/>
          <w:color w:val="1A1A1A"/>
          <w:sz w:val="18"/>
        </w:rPr>
        <w:t>IPS check: max single name 6.5% (NVDA) ≤ 7.0% cap; max ETF 3.5% (QQQ) ≤ 5.0% cap; Technology sector 33.5% ≤ 35.0% cap; cash 15.0% inside 10–20% band; no leverage / options / shorts. All limits respected.</w:t>
      </w:r>
    </w:p>
    <w:p>
      <w:pPr>
        <w:spacing w:before="120" w:after="40"/>
        <w:pBdr>
          <w:bottom w:val="single" w:sz="6" w:space="1" w:color="B0B0B0"/>
        </w:pBdr>
      </w:pPr>
      <w:r>
        <w:rPr>
          <w:rFonts w:ascii="Calibri" w:hAnsi="Calibri" w:cs="Calibri"/>
          <w:b/>
          <w:color w:val="1A1A1A"/>
          <w:sz w:val="22"/>
        </w:rPr>
        <w:t>8. SOURCES &amp; METHODOLOGY</w:t>
      </w:r>
    </w:p>
    <w:p>
      <w:pPr>
        <w:spacing w:before="0" w:after="40"/>
      </w:pPr>
      <w:r>
        <w:rPr>
          <w:rFonts w:ascii="Calibri" w:hAnsi="Calibri" w:cs="Calibri"/>
          <w:b w:val="0"/>
          <w:color w:val="707070"/>
          <w:sz w:val="16"/>
        </w:rPr>
        <w:t>Market levels SOURCED from CNBC, TheStreet, Stocktwits, TS2 live coverage (May 4–5, 2026). PLTR figures SOURCED from Palantir IR via TradingView / TECHi / Investing.com (May 4 AMC). AMD preview SOURCED from TipRanks, Yahoo Finance, heygotrade, Alphastreet (May 1–5). EOG preview SOURCED from Alphastreet, Yahoo, Zacks, TradingView (May 4–5). Oil/Iran SOURCED from CNBC, Al Jazeera (May 4–5). NFP forecast SOURCED from BLS schedule and X/markets-day post (May 8 release pending). Position weights CONFIRMED via WM_Growth_Portfolio_Apr2026.xlsx Holdings sheet (ground truth). No CALIBRATED figures used in this report. Provenance — every figure tagged SOURCED / CONFIRMED. Recommendations carry confidence + size + entry + price stop + thesis stop + pre-mortem per IPS §5.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