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419F" w14:textId="77777777" w:rsidR="008734E0" w:rsidRDefault="00000000">
      <w:pPr>
        <w:spacing w:after="0" w:line="312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Case Study: Landmark Supreme Court Judgments</w:t>
      </w:r>
    </w:p>
    <w:tbl>
      <w:tblPr>
        <w:tblStyle w:val="a"/>
        <w:tblW w:w="96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872"/>
        <w:gridCol w:w="1815"/>
        <w:gridCol w:w="3954"/>
      </w:tblGrid>
      <w:tr w:rsidR="008734E0" w14:paraId="311B558D" w14:textId="77777777">
        <w:trPr>
          <w:trHeight w:val="340"/>
          <w:jc w:val="center"/>
        </w:trPr>
        <w:tc>
          <w:tcPr>
            <w:tcW w:w="1984" w:type="dxa"/>
          </w:tcPr>
          <w:p w14:paraId="062D53F8" w14:textId="77777777" w:rsidR="008734E0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Class                          </w:t>
            </w:r>
          </w:p>
        </w:tc>
        <w:tc>
          <w:tcPr>
            <w:tcW w:w="1872" w:type="dxa"/>
          </w:tcPr>
          <w:p w14:paraId="13FB1774" w14:textId="77777777" w:rsidR="008734E0" w:rsidRDefault="00000000">
            <w:pPr>
              <w:spacing w:after="0" w:line="312" w:lineRule="auto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</w:t>
            </w:r>
          </w:p>
        </w:tc>
        <w:tc>
          <w:tcPr>
            <w:tcW w:w="1815" w:type="dxa"/>
          </w:tcPr>
          <w:p w14:paraId="22BF861F" w14:textId="77777777" w:rsidR="008734E0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Semester           </w:t>
            </w:r>
          </w:p>
        </w:tc>
        <w:tc>
          <w:tcPr>
            <w:tcW w:w="3954" w:type="dxa"/>
          </w:tcPr>
          <w:p w14:paraId="288929F5" w14:textId="77777777" w:rsidR="008734E0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</w:tc>
      </w:tr>
      <w:tr w:rsidR="008734E0" w14:paraId="07C375ED" w14:textId="77777777">
        <w:trPr>
          <w:trHeight w:val="719"/>
          <w:jc w:val="center"/>
        </w:trPr>
        <w:tc>
          <w:tcPr>
            <w:tcW w:w="1984" w:type="dxa"/>
          </w:tcPr>
          <w:p w14:paraId="00ADC8E2" w14:textId="77777777" w:rsidR="008734E0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Course Code            </w:t>
            </w:r>
          </w:p>
        </w:tc>
        <w:tc>
          <w:tcPr>
            <w:tcW w:w="1872" w:type="dxa"/>
          </w:tcPr>
          <w:p w14:paraId="26004498" w14:textId="77777777" w:rsidR="008734E0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0411102</w:t>
            </w:r>
          </w:p>
        </w:tc>
        <w:tc>
          <w:tcPr>
            <w:tcW w:w="1815" w:type="dxa"/>
          </w:tcPr>
          <w:p w14:paraId="7354416D" w14:textId="77777777" w:rsidR="008734E0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Course Name  </w:t>
            </w:r>
          </w:p>
        </w:tc>
        <w:tc>
          <w:tcPr>
            <w:tcW w:w="3954" w:type="dxa"/>
          </w:tcPr>
          <w:p w14:paraId="025EDF83" w14:textId="77777777" w:rsidR="008734E0" w:rsidRDefault="00000000">
            <w:pPr>
              <w:spacing w:after="0" w:line="30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Indian Constitution and Social Responsibility (ICSR)</w:t>
            </w:r>
          </w:p>
          <w:p w14:paraId="0CB1457D" w14:textId="77777777" w:rsidR="008734E0" w:rsidRDefault="008734E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8FC154" w14:textId="77777777" w:rsidR="008734E0" w:rsidRDefault="008734E0">
      <w:pPr>
        <w:spacing w:after="0"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0"/>
        <w:tblW w:w="920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268"/>
        <w:gridCol w:w="1843"/>
        <w:gridCol w:w="852"/>
        <w:gridCol w:w="1699"/>
      </w:tblGrid>
      <w:tr w:rsidR="008734E0" w14:paraId="22F91ED0" w14:textId="77777777">
        <w:trPr>
          <w:trHeight w:val="340"/>
          <w:jc w:val="center"/>
        </w:trPr>
        <w:tc>
          <w:tcPr>
            <w:tcW w:w="2547" w:type="dxa"/>
          </w:tcPr>
          <w:p w14:paraId="55F8A5F5" w14:textId="77777777" w:rsidR="008734E0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Name of the Student:            </w:t>
            </w:r>
          </w:p>
        </w:tc>
        <w:tc>
          <w:tcPr>
            <w:tcW w:w="4111" w:type="dxa"/>
            <w:gridSpan w:val="2"/>
          </w:tcPr>
          <w:p w14:paraId="3F039746" w14:textId="70099068" w:rsidR="008734E0" w:rsidRDefault="00BA5174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Arhat Suhas Janbandhu</w:t>
            </w:r>
          </w:p>
        </w:tc>
        <w:tc>
          <w:tcPr>
            <w:tcW w:w="852" w:type="dxa"/>
          </w:tcPr>
          <w:p w14:paraId="07CF2828" w14:textId="77777777" w:rsidR="008734E0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Div:</w:t>
            </w:r>
          </w:p>
        </w:tc>
        <w:tc>
          <w:tcPr>
            <w:tcW w:w="1699" w:type="dxa"/>
          </w:tcPr>
          <w:p w14:paraId="31444433" w14:textId="77CFD670" w:rsidR="008734E0" w:rsidRDefault="00BA5174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 - 01</w:t>
            </w:r>
          </w:p>
        </w:tc>
      </w:tr>
      <w:tr w:rsidR="008734E0" w14:paraId="08AE6773" w14:textId="77777777">
        <w:trPr>
          <w:trHeight w:val="340"/>
          <w:jc w:val="center"/>
        </w:trPr>
        <w:tc>
          <w:tcPr>
            <w:tcW w:w="2547" w:type="dxa"/>
          </w:tcPr>
          <w:p w14:paraId="4A1FD393" w14:textId="77777777" w:rsidR="008734E0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Roll No:</w:t>
            </w:r>
          </w:p>
        </w:tc>
        <w:tc>
          <w:tcPr>
            <w:tcW w:w="2268" w:type="dxa"/>
          </w:tcPr>
          <w:p w14:paraId="42048937" w14:textId="468F8EF1" w:rsidR="008734E0" w:rsidRDefault="00BA5174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21137</w:t>
            </w:r>
          </w:p>
        </w:tc>
        <w:tc>
          <w:tcPr>
            <w:tcW w:w="1843" w:type="dxa"/>
          </w:tcPr>
          <w:p w14:paraId="4310E284" w14:textId="77777777" w:rsidR="008734E0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Code:</w:t>
            </w:r>
          </w:p>
        </w:tc>
        <w:tc>
          <w:tcPr>
            <w:tcW w:w="2551" w:type="dxa"/>
            <w:gridSpan w:val="2"/>
          </w:tcPr>
          <w:p w14:paraId="79CEAC21" w14:textId="1E0277AC" w:rsidR="008734E0" w:rsidRDefault="00BA5174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F24CE161</w:t>
            </w:r>
          </w:p>
        </w:tc>
      </w:tr>
    </w:tbl>
    <w:p w14:paraId="25C36B30" w14:textId="77777777" w:rsidR="008734E0" w:rsidRDefault="008734E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</w:pPr>
    </w:p>
    <w:p w14:paraId="54F3E40E" w14:textId="5B8A8362" w:rsidR="008734E0" w:rsidRDefault="0000000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Topic</w:t>
      </w:r>
      <w:r w:rsidR="00BA5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BA5174" w:rsidRPr="00BA5174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Study: Landmark Supreme Court Judgments</w:t>
      </w:r>
    </w:p>
    <w:p w14:paraId="2B80E233" w14:textId="66FEA28A" w:rsidR="008734E0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Brief Description of Topi</w:t>
      </w:r>
      <w:r w:rsidR="00BA5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c: </w:t>
      </w:r>
    </w:p>
    <w:p w14:paraId="0A7294B3" w14:textId="77777777" w:rsidR="008734E0" w:rsidRDefault="008734E0">
      <w:pPr>
        <w:jc w:val="both"/>
        <w:rPr>
          <w:rFonts w:ascii="Times New Roman" w:eastAsia="Times New Roman" w:hAnsi="Times New Roman" w:cs="Times New Roman"/>
          <w:color w:val="001D35"/>
          <w:sz w:val="24"/>
          <w:szCs w:val="24"/>
          <w:highlight w:val="white"/>
        </w:rPr>
      </w:pPr>
    </w:p>
    <w:p w14:paraId="68BF4628" w14:textId="77777777" w:rsidR="008734E0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 after this activity the students would be able to-</w:t>
      </w:r>
    </w:p>
    <w:p w14:paraId="0CF3500A" w14:textId="77777777" w:rsidR="008734E0" w:rsidRDefault="00000000">
      <w:pPr>
        <w:jc w:val="both"/>
      </w:pPr>
      <w:r>
        <w:t>This case study enables students to understand constitutional law in practice, develop analytical thinking, and appreciate the judiciary’s role in protecting rights and democracy.</w:t>
      </w:r>
    </w:p>
    <w:p w14:paraId="6D524B80" w14:textId="77777777" w:rsidR="008734E0" w:rsidRDefault="0000000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statement: </w:t>
      </w:r>
    </w:p>
    <w:p w14:paraId="09274C5D" w14:textId="77777777" w:rsidR="008734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Answer the questions below.</w:t>
      </w:r>
    </w:p>
    <w:tbl>
      <w:tblPr>
        <w:tblStyle w:val="a1"/>
        <w:tblW w:w="9915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9072"/>
      </w:tblGrid>
      <w:tr w:rsidR="008734E0" w14:paraId="4DE869AA" w14:textId="77777777">
        <w:trPr>
          <w:trHeight w:val="385"/>
        </w:trPr>
        <w:tc>
          <w:tcPr>
            <w:tcW w:w="843" w:type="dxa"/>
          </w:tcPr>
          <w:p w14:paraId="43A93DC3" w14:textId="77777777" w:rsidR="008734E0" w:rsidRDefault="00000000">
            <w:pPr>
              <w:spacing w:after="0" w:line="312" w:lineRule="auto"/>
              <w:ind w:left="-8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9072" w:type="dxa"/>
          </w:tcPr>
          <w:p w14:paraId="4EB34199" w14:textId="77777777" w:rsidR="008734E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</w:tr>
      <w:tr w:rsidR="008734E0" w14:paraId="28DFE259" w14:textId="77777777">
        <w:trPr>
          <w:trHeight w:val="385"/>
        </w:trPr>
        <w:tc>
          <w:tcPr>
            <w:tcW w:w="843" w:type="dxa"/>
          </w:tcPr>
          <w:p w14:paraId="682A8BDA" w14:textId="77777777" w:rsidR="008734E0" w:rsidRDefault="00000000">
            <w:pPr>
              <w:spacing w:after="0" w:line="312" w:lineRule="auto"/>
              <w:ind w:left="-8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9072" w:type="dxa"/>
          </w:tcPr>
          <w:p w14:paraId="43441604" w14:textId="77777777" w:rsidR="008734E0" w:rsidRDefault="00000000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 Matter-Focuses on single unit</w:t>
            </w:r>
          </w:p>
          <w:p w14:paraId="4AF75055" w14:textId="77777777" w:rsidR="00BA5174" w:rsidRDefault="00BA5174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4706E1" w14:textId="5BAAAFF0" w:rsidR="008734E0" w:rsidRPr="00BA5174" w:rsidRDefault="00BA5174" w:rsidP="00BA5174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5174">
              <w:rPr>
                <w:rFonts w:ascii="Times New Roman" w:eastAsia="Times New Roman" w:hAnsi="Times New Roman" w:cs="Times New Roman"/>
                <w:sz w:val="24"/>
                <w:szCs w:val="24"/>
              </w:rPr>
              <w:t>A case study on landmark Supreme Court judgments focuses on one specific legal issue or constitutional principle, such as Fundamental Rights, Judicial Review, or Basic Structure Doctrine. Each case represents a single unit of analysis to understand that principle in depth.</w:t>
            </w:r>
          </w:p>
        </w:tc>
      </w:tr>
      <w:tr w:rsidR="008734E0" w14:paraId="2CC2FC1D" w14:textId="77777777">
        <w:trPr>
          <w:trHeight w:val="385"/>
        </w:trPr>
        <w:tc>
          <w:tcPr>
            <w:tcW w:w="843" w:type="dxa"/>
          </w:tcPr>
          <w:p w14:paraId="2FFB2682" w14:textId="77777777" w:rsidR="008734E0" w:rsidRDefault="00000000">
            <w:pPr>
              <w:spacing w:after="0" w:line="312" w:lineRule="auto"/>
              <w:ind w:left="-8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072" w:type="dxa"/>
          </w:tcPr>
          <w:p w14:paraId="51010937" w14:textId="77777777" w:rsidR="008734E0" w:rsidRDefault="00000000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collected from Different resources.</w:t>
            </w:r>
          </w:p>
          <w:p w14:paraId="0C8350E1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9026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Information is gathered from multiple credible sources, including:</w:t>
            </w:r>
          </w:p>
          <w:p w14:paraId="24C27F1D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4934EEC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9026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Supreme Court judgments (primary source)</w:t>
            </w:r>
          </w:p>
          <w:p w14:paraId="324784B2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9026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Legal textbooks and commentaries</w:t>
            </w:r>
          </w:p>
          <w:p w14:paraId="7CBA716F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9026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Law journals and articles</w:t>
            </w:r>
          </w:p>
          <w:p w14:paraId="179EA830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9026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Government/legal websites</w:t>
            </w:r>
          </w:p>
          <w:p w14:paraId="3CA6EC77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9026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News reports for context</w:t>
            </w:r>
          </w:p>
          <w:p w14:paraId="6ACA5F74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4EC93FE" w14:textId="70BCD741" w:rsidR="00BA5174" w:rsidRPr="00BA5174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9026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This ensures multi-dimensional and verified understanding.</w:t>
            </w:r>
          </w:p>
          <w:p w14:paraId="2FCB6177" w14:textId="77777777" w:rsidR="008734E0" w:rsidRPr="00BA5174" w:rsidRDefault="008734E0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66EDF2" w14:textId="77777777" w:rsidR="008734E0" w:rsidRDefault="008734E0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C31CFB" w14:textId="77777777" w:rsidR="008734E0" w:rsidRDefault="008734E0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3B8846" w14:textId="77777777" w:rsidR="008734E0" w:rsidRDefault="008734E0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E7BD05" w14:textId="77777777" w:rsidR="008734E0" w:rsidRDefault="008734E0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4B4F9E" w14:textId="77777777" w:rsidR="008734E0" w:rsidRDefault="008734E0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3A4254" w14:textId="77777777" w:rsidR="008734E0" w:rsidRDefault="008734E0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0F79DD" w14:textId="77777777" w:rsidR="008734E0" w:rsidRDefault="008734E0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734E0" w14:paraId="180B3065" w14:textId="77777777">
        <w:trPr>
          <w:trHeight w:val="947"/>
        </w:trPr>
        <w:tc>
          <w:tcPr>
            <w:tcW w:w="843" w:type="dxa"/>
          </w:tcPr>
          <w:p w14:paraId="4F4E9C6E" w14:textId="77777777" w:rsidR="008734E0" w:rsidRDefault="00000000">
            <w:pPr>
              <w:spacing w:after="0" w:line="312" w:lineRule="auto"/>
              <w:ind w:left="-8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9072" w:type="dxa"/>
          </w:tcPr>
          <w:p w14:paraId="15D41522" w14:textId="77777777" w:rsidR="008734E0" w:rsidRDefault="00000000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Contextual Understanding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–(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based on real life scenarios)</w:t>
            </w:r>
          </w:p>
          <w:p w14:paraId="2731F752" w14:textId="77777777" w:rsidR="00BA5174" w:rsidRPr="00BA5174" w:rsidRDefault="00BA5174" w:rsidP="00BA5174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5174">
              <w:rPr>
                <w:rFonts w:ascii="Times New Roman" w:eastAsia="Times New Roman" w:hAnsi="Times New Roman" w:cs="Times New Roman"/>
                <w:sz w:val="24"/>
                <w:szCs w:val="24"/>
              </w:rPr>
              <w:t>Each judgment is studied in the context of real-life disputes or societal issues, such as:</w:t>
            </w:r>
          </w:p>
          <w:p w14:paraId="42E9B99D" w14:textId="77777777" w:rsidR="00BA5174" w:rsidRPr="00BA5174" w:rsidRDefault="00BA5174" w:rsidP="00BA5174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82980D" w14:textId="77777777" w:rsidR="00BA5174" w:rsidRPr="00BA5174" w:rsidRDefault="00BA5174" w:rsidP="00BA5174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5174">
              <w:rPr>
                <w:rFonts w:ascii="Times New Roman" w:eastAsia="Times New Roman" w:hAnsi="Times New Roman" w:cs="Times New Roman"/>
                <w:sz w:val="24"/>
                <w:szCs w:val="24"/>
              </w:rPr>
              <w:t>Violation of fundamental rights</w:t>
            </w:r>
          </w:p>
          <w:p w14:paraId="7C0FE04B" w14:textId="77777777" w:rsidR="00BA5174" w:rsidRPr="00BA5174" w:rsidRDefault="00BA5174" w:rsidP="00BA5174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5174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 policies challenged in court</w:t>
            </w:r>
          </w:p>
          <w:p w14:paraId="081C9895" w14:textId="77777777" w:rsidR="00BA5174" w:rsidRPr="00BA5174" w:rsidRDefault="00BA5174" w:rsidP="00BA5174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5174">
              <w:rPr>
                <w:rFonts w:ascii="Times New Roman" w:eastAsia="Times New Roman" w:hAnsi="Times New Roman" w:cs="Times New Roman"/>
                <w:sz w:val="24"/>
                <w:szCs w:val="24"/>
              </w:rPr>
              <w:t>Social justice issues</w:t>
            </w:r>
          </w:p>
          <w:p w14:paraId="4C163F01" w14:textId="77777777" w:rsidR="00BA5174" w:rsidRPr="00BA5174" w:rsidRDefault="00BA5174" w:rsidP="00BA5174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C77CC9" w14:textId="41E2FEC0" w:rsidR="008734E0" w:rsidRDefault="00BA5174" w:rsidP="00E21C0A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5174">
              <w:rPr>
                <w:rFonts w:ascii="Times New Roman" w:eastAsia="Times New Roman" w:hAnsi="Times New Roman" w:cs="Times New Roman"/>
                <w:sz w:val="24"/>
                <w:szCs w:val="24"/>
              </w:rPr>
              <w:t>This helps in linking legal theory with practical application.</w:t>
            </w:r>
          </w:p>
        </w:tc>
      </w:tr>
      <w:tr w:rsidR="008734E0" w14:paraId="4A2BDC0B" w14:textId="77777777">
        <w:trPr>
          <w:trHeight w:val="947"/>
        </w:trPr>
        <w:tc>
          <w:tcPr>
            <w:tcW w:w="843" w:type="dxa"/>
          </w:tcPr>
          <w:p w14:paraId="004C5276" w14:textId="77777777" w:rsidR="008734E0" w:rsidRDefault="00000000">
            <w:pPr>
              <w:spacing w:after="0" w:line="312" w:lineRule="auto"/>
              <w:ind w:left="-8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072" w:type="dxa"/>
          </w:tcPr>
          <w:p w14:paraId="0B041C16" w14:textId="77777777" w:rsidR="008734E0" w:rsidRDefault="00000000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Evaluate)</w:t>
            </w:r>
          </w:p>
          <w:p w14:paraId="3A890F79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26C">
              <w:rPr>
                <w:rFonts w:ascii="Times New Roman" w:eastAsia="Times New Roman" w:hAnsi="Times New Roman" w:cs="Times New Roman"/>
                <w:sz w:val="24"/>
                <w:szCs w:val="24"/>
              </w:rPr>
              <w:t>The purpose is to:</w:t>
            </w:r>
          </w:p>
          <w:p w14:paraId="37236E33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475AD0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26C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the impact of the judgment on law and society</w:t>
            </w:r>
          </w:p>
          <w:p w14:paraId="7D73D7EB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026C"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C902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judicial reasoning</w:t>
            </w:r>
          </w:p>
          <w:p w14:paraId="602F43F6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26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how it shaped constitutional interpretation</w:t>
            </w:r>
          </w:p>
          <w:p w14:paraId="104F1C4C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F4C92D" w14:textId="1FA498EF" w:rsidR="008734E0" w:rsidRDefault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026C">
              <w:rPr>
                <w:rFonts w:ascii="Times New Roman" w:eastAsia="Times New Roman" w:hAnsi="Times New Roman" w:cs="Times New Roman"/>
                <w:sz w:val="24"/>
                <w:szCs w:val="24"/>
              </w:rPr>
              <w:t>Essentially, it develops critical thinking and legal evaluation skills.</w:t>
            </w:r>
          </w:p>
          <w:p w14:paraId="2FD67939" w14:textId="77777777" w:rsidR="008734E0" w:rsidRDefault="008734E0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F54A2F" w14:textId="77777777" w:rsidR="008734E0" w:rsidRDefault="008734E0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734E0" w14:paraId="095D475B" w14:textId="77777777">
        <w:trPr>
          <w:trHeight w:val="947"/>
        </w:trPr>
        <w:tc>
          <w:tcPr>
            <w:tcW w:w="843" w:type="dxa"/>
          </w:tcPr>
          <w:p w14:paraId="0FA56C37" w14:textId="77777777" w:rsidR="008734E0" w:rsidRDefault="00000000">
            <w:pPr>
              <w:spacing w:after="0" w:line="312" w:lineRule="auto"/>
              <w:ind w:left="-8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072" w:type="dxa"/>
          </w:tcPr>
          <w:p w14:paraId="76D46456" w14:textId="77777777" w:rsidR="008734E0" w:rsidRDefault="00000000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Widely used in)</w:t>
            </w:r>
          </w:p>
          <w:p w14:paraId="470BB172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26C">
              <w:rPr>
                <w:rFonts w:ascii="Times New Roman" w:eastAsia="Times New Roman" w:hAnsi="Times New Roman" w:cs="Times New Roman"/>
                <w:sz w:val="24"/>
                <w:szCs w:val="24"/>
              </w:rPr>
              <w:t>These case studies are widely used in:</w:t>
            </w:r>
          </w:p>
          <w:p w14:paraId="26A3349D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26287A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26C">
              <w:rPr>
                <w:rFonts w:ascii="Times New Roman" w:eastAsia="Times New Roman" w:hAnsi="Times New Roman" w:cs="Times New Roman"/>
                <w:sz w:val="24"/>
                <w:szCs w:val="24"/>
              </w:rPr>
              <w:t>Legal education (law schools, judiciary exams)</w:t>
            </w:r>
          </w:p>
          <w:p w14:paraId="78EBA80F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2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Policy-making and governance</w:t>
            </w:r>
          </w:p>
          <w:p w14:paraId="039B3C31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26C">
              <w:rPr>
                <w:rFonts w:ascii="Times New Roman" w:eastAsia="Times New Roman" w:hAnsi="Times New Roman" w:cs="Times New Roman"/>
                <w:sz w:val="24"/>
                <w:szCs w:val="24"/>
              </w:rPr>
              <w:t>Judicial decision-making (as precedents)</w:t>
            </w:r>
          </w:p>
          <w:p w14:paraId="7560D746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26C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Competitive exams (UPSC, CLAT, etc.)</w:t>
            </w:r>
          </w:p>
          <w:p w14:paraId="1F2F9078" w14:textId="77777777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3521C4" w14:textId="7EC5FEC4" w:rsidR="00C9026C" w:rsidRPr="00C9026C" w:rsidRDefault="00C9026C" w:rsidP="00C9026C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26C">
              <w:rPr>
                <w:rFonts w:ascii="Times New Roman" w:eastAsia="Times New Roman" w:hAnsi="Times New Roman" w:cs="Times New Roman"/>
                <w:sz w:val="24"/>
                <w:szCs w:val="24"/>
              </w:rPr>
              <w:t>They form the foundation of legal and constitutional understanding.</w:t>
            </w:r>
          </w:p>
        </w:tc>
      </w:tr>
    </w:tbl>
    <w:p w14:paraId="5A8717CB" w14:textId="77777777" w:rsidR="008734E0" w:rsidRDefault="008734E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A8A742" w14:textId="77777777" w:rsidR="008734E0" w:rsidRDefault="0000000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Rate your performance (1 Poor – 3 Excellent):</w:t>
      </w:r>
    </w:p>
    <w:p w14:paraId="602540A7" w14:textId="77777777" w:rsidR="008734E0" w:rsidRDefault="008734E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2E30EB" w14:textId="77777777" w:rsidR="008734E0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Observations / Comments by Evaluator:</w:t>
      </w:r>
    </w:p>
    <w:p w14:paraId="57177093" w14:textId="77777777" w:rsidR="008734E0" w:rsidRDefault="00000000">
      <w:pPr>
        <w:spacing w:after="0" w:line="312" w:lineRule="auto"/>
        <w:ind w:firstLine="14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---------------------------------------------------------------------------------------------------------------------</w:t>
      </w:r>
    </w:p>
    <w:p w14:paraId="3946A300" w14:textId="77777777" w:rsidR="008734E0" w:rsidRDefault="00000000">
      <w:pPr>
        <w:spacing w:after="0" w:line="312" w:lineRule="auto"/>
        <w:ind w:firstLine="14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---------------------------------------------------------------------------------------------------------------------</w:t>
      </w:r>
    </w:p>
    <w:p w14:paraId="65E80A8B" w14:textId="77777777" w:rsidR="008734E0" w:rsidRDefault="008734E0">
      <w:pPr>
        <w:spacing w:after="0"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E964A5" w14:textId="77777777" w:rsidR="008734E0" w:rsidRDefault="008734E0">
      <w:pPr>
        <w:spacing w:after="0" w:line="312" w:lineRule="auto"/>
        <w:ind w:firstLine="1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eading=h.2shy9cuju9v8" w:colFirst="0" w:colLast="0"/>
      <w:bookmarkEnd w:id="0"/>
    </w:p>
    <w:p w14:paraId="41C6C1DE" w14:textId="77777777" w:rsidR="008734E0" w:rsidRDefault="00000000">
      <w:pPr>
        <w:spacing w:after="0" w:line="312" w:lineRule="auto"/>
        <w:ind w:firstLine="1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Signature of faculty</w:t>
      </w:r>
    </w:p>
    <w:sectPr w:rsidR="008734E0">
      <w:headerReference w:type="default" r:id="rId8"/>
      <w:footerReference w:type="default" r:id="rId9"/>
      <w:pgSz w:w="11906" w:h="16838"/>
      <w:pgMar w:top="851" w:right="1276" w:bottom="629" w:left="1134" w:header="709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B4F8A" w14:textId="77777777" w:rsidR="00DC19AF" w:rsidRDefault="00DC19AF">
      <w:pPr>
        <w:spacing w:after="0" w:line="240" w:lineRule="auto"/>
      </w:pPr>
      <w:r>
        <w:separator/>
      </w:r>
    </w:p>
  </w:endnote>
  <w:endnote w:type="continuationSeparator" w:id="0">
    <w:p w14:paraId="7487ED9A" w14:textId="77777777" w:rsidR="00DC19AF" w:rsidRDefault="00DC1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CCEA32-142E-4AAA-B1EE-CEB598180B4F}"/>
    <w:embedBold r:id="rId2" w:fontKey="{958ED4D6-6826-4D2B-8E3F-205546D0A2A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F2241D7-997E-4840-A654-F444675950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6F9F00E-333F-4DE8-9858-C348094747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3FDD8" w14:textId="77777777" w:rsidR="008734E0" w:rsidRDefault="008734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</w:p>
  <w:p w14:paraId="5EEE1B16" w14:textId="77777777" w:rsidR="008734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BA5174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B32D8" w14:textId="77777777" w:rsidR="00DC19AF" w:rsidRDefault="00DC19AF">
      <w:pPr>
        <w:spacing w:after="0" w:line="240" w:lineRule="auto"/>
      </w:pPr>
      <w:r>
        <w:separator/>
      </w:r>
    </w:p>
  </w:footnote>
  <w:footnote w:type="continuationSeparator" w:id="0">
    <w:p w14:paraId="436584F4" w14:textId="77777777" w:rsidR="00DC19AF" w:rsidRDefault="00DC1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19FEC" w14:textId="77777777" w:rsidR="008734E0" w:rsidRDefault="008734E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b/>
        <w:bCs/>
        <w:sz w:val="24"/>
        <w:szCs w:val="24"/>
      </w:rPr>
    </w:pPr>
  </w:p>
  <w:tbl>
    <w:tblPr>
      <w:tblStyle w:val="a2"/>
      <w:tblW w:w="10077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605"/>
      <w:gridCol w:w="8472"/>
    </w:tblGrid>
    <w:tr w:rsidR="008734E0" w14:paraId="2C2AB87E" w14:textId="77777777">
      <w:trPr>
        <w:trHeight w:val="826"/>
        <w:jc w:val="center"/>
      </w:trPr>
      <w:tc>
        <w:tcPr>
          <w:tcW w:w="1605" w:type="dxa"/>
          <w:vMerge w:val="restart"/>
          <w:tcBorders>
            <w:top w:val="single" w:sz="12" w:space="0" w:color="000000"/>
            <w:left w:val="single" w:sz="12" w:space="0" w:color="000000"/>
            <w:bottom w:val="single" w:sz="4" w:space="0" w:color="000000"/>
            <w:right w:val="nil"/>
          </w:tcBorders>
        </w:tcPr>
        <w:p w14:paraId="2081007F" w14:textId="77777777" w:rsidR="008734E0" w:rsidRDefault="00000000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"/>
              <w:szCs w:val="2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51389976" wp14:editId="03643550">
                <wp:simplePos x="0" y="0"/>
                <wp:positionH relativeFrom="column">
                  <wp:posOffset>87632</wp:posOffset>
                </wp:positionH>
                <wp:positionV relativeFrom="paragraph">
                  <wp:posOffset>0</wp:posOffset>
                </wp:positionV>
                <wp:extent cx="750570" cy="701040"/>
                <wp:effectExtent l="0" t="0" r="0" b="0"/>
                <wp:wrapSquare wrapText="bothSides" distT="0" distB="0" distL="114300" distR="114300"/>
                <wp:docPr id="2" name="image1.jpg" descr="PICT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PICTLOG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0570" cy="7010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4294967295" distB="4294967295" distL="114300" distR="114300" simplePos="0" relativeHeight="251659264" behindDoc="0" locked="0" layoutInCell="1" hidden="0" allowOverlap="1" wp14:anchorId="365DF1B0" wp14:editId="4D0DCC8C">
                    <wp:simplePos x="0" y="0"/>
                    <wp:positionH relativeFrom="column">
                      <wp:posOffset>752475</wp:posOffset>
                    </wp:positionH>
                    <wp:positionV relativeFrom="paragraph">
                      <wp:posOffset>474029</wp:posOffset>
                    </wp:positionV>
                    <wp:extent cx="5463540" cy="53975"/>
                    <wp:effectExtent l="0" t="0" r="0" b="0"/>
                    <wp:wrapNone/>
                    <wp:docPr id="1" name="Straight Arrow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0800000" flipH="1">
                              <a:off x="2614230" y="3776190"/>
                              <a:ext cx="5463540" cy="7620"/>
                            </a:xfrm>
                            <a:prstGeom prst="straightConnector1">
                              <a:avLst/>
                            </a:prstGeom>
                            <a:noFill/>
                            <a:ln w="53975" cap="flat" cmpd="tri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<w:drawing>
                  <wp:anchor allowOverlap="1" behindDoc="0" distB="4294967295" distT="4294967295" distL="114300" distR="114300" hidden="0" layoutInCell="1" locked="0" relativeHeight="0" simplePos="0">
                    <wp:simplePos x="0" y="0"/>
                    <wp:positionH relativeFrom="column">
                      <wp:posOffset>752475</wp:posOffset>
                    </wp:positionH>
                    <wp:positionV relativeFrom="paragraph">
                      <wp:posOffset>474029</wp:posOffset>
                    </wp:positionV>
                    <wp:extent cx="5463540" cy="53975"/>
                    <wp:effectExtent b="0" l="0" r="0" t="0"/>
                    <wp:wrapNone/>
                    <wp:docPr id="1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2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463540" cy="5397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  <w:tc>
        <w:tcPr>
          <w:tcW w:w="8472" w:type="dxa"/>
          <w:tcBorders>
            <w:top w:val="single" w:sz="12" w:space="0" w:color="000000"/>
            <w:left w:val="nil"/>
            <w:bottom w:val="nil"/>
            <w:right w:val="single" w:sz="12" w:space="0" w:color="000000"/>
          </w:tcBorders>
          <w:vAlign w:val="center"/>
        </w:tcPr>
        <w:p w14:paraId="0FFCC0DC" w14:textId="77777777" w:rsidR="008734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SCTR’s PUNE INSTITUTE OF COMPUTER TECHNOLOGY, PUNE – 411043</w:t>
          </w:r>
        </w:p>
        <w:p w14:paraId="6E7F7EA7" w14:textId="77777777" w:rsidR="008734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 xml:space="preserve">S.No.-27, Pune Satara Road, </w:t>
          </w:r>
          <w:proofErr w:type="spellStart"/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Dhankawadi</w:t>
          </w:r>
          <w:proofErr w:type="spellEnd"/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, Pune-411043</w:t>
          </w:r>
        </w:p>
      </w:tc>
    </w:tr>
    <w:tr w:rsidR="008734E0" w14:paraId="600FA6D8" w14:textId="77777777">
      <w:trPr>
        <w:trHeight w:val="320"/>
        <w:jc w:val="center"/>
      </w:trPr>
      <w:tc>
        <w:tcPr>
          <w:tcW w:w="1605" w:type="dxa"/>
          <w:vMerge/>
          <w:tcBorders>
            <w:top w:val="single" w:sz="12" w:space="0" w:color="000000"/>
            <w:left w:val="single" w:sz="12" w:space="0" w:color="000000"/>
            <w:bottom w:val="single" w:sz="4" w:space="0" w:color="000000"/>
            <w:right w:val="nil"/>
          </w:tcBorders>
        </w:tcPr>
        <w:p w14:paraId="7DF47BEF" w14:textId="77777777" w:rsidR="008734E0" w:rsidRDefault="008734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8472" w:type="dxa"/>
          <w:tcBorders>
            <w:top w:val="nil"/>
            <w:left w:val="nil"/>
            <w:bottom w:val="single" w:sz="12" w:space="0" w:color="000000"/>
            <w:right w:val="single" w:sz="12" w:space="0" w:color="000000"/>
          </w:tcBorders>
        </w:tcPr>
        <w:p w14:paraId="27436893" w14:textId="77777777" w:rsidR="008734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both"/>
            <w:rPr>
              <w:rFonts w:ascii="Times New Roman" w:eastAsia="Times New Roman" w:hAnsi="Times New Roman" w:cs="Times New Roman"/>
              <w:b/>
              <w:bCs/>
              <w:color w:val="000000"/>
              <w:sz w:val="30"/>
              <w:szCs w:val="30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0"/>
              <w:szCs w:val="30"/>
            </w:rPr>
            <w:t xml:space="preserve">              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30"/>
              <w:szCs w:val="30"/>
            </w:rPr>
            <w:t xml:space="preserve">Department of </w:t>
          </w:r>
          <w:r>
            <w:rPr>
              <w:rFonts w:ascii="Times New Roman" w:eastAsia="Times New Roman" w:hAnsi="Times New Roman" w:cs="Times New Roman"/>
              <w:b/>
              <w:bCs/>
              <w:sz w:val="30"/>
              <w:szCs w:val="30"/>
            </w:rPr>
            <w:t>Computer Engineering</w:t>
          </w:r>
        </w:p>
      </w:tc>
    </w:tr>
    <w:tr w:rsidR="008734E0" w14:paraId="0487F80E" w14:textId="77777777">
      <w:trPr>
        <w:trHeight w:val="251"/>
        <w:jc w:val="center"/>
      </w:trPr>
      <w:tc>
        <w:tcPr>
          <w:tcW w:w="1007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shd w:val="clear" w:color="auto" w:fill="D9D9D9"/>
          <w:vAlign w:val="center"/>
        </w:tcPr>
        <w:p w14:paraId="53808555" w14:textId="77777777" w:rsidR="008734E0" w:rsidRDefault="00000000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[0411102</w:t>
          </w:r>
          <w:proofErr w:type="gramStart"/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]:Indian</w:t>
          </w:r>
          <w:proofErr w:type="gramEnd"/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Constitution and Social </w:t>
          </w:r>
          <w:proofErr w:type="gramStart"/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Responsibility(</w:t>
          </w:r>
          <w:proofErr w:type="gramEnd"/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ICSR)</w:t>
          </w:r>
        </w:p>
      </w:tc>
    </w:tr>
    <w:tr w:rsidR="008734E0" w14:paraId="1CDA8082" w14:textId="77777777">
      <w:trPr>
        <w:trHeight w:val="187"/>
        <w:jc w:val="center"/>
      </w:trPr>
      <w:tc>
        <w:tcPr>
          <w:tcW w:w="1007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shd w:val="clear" w:color="auto" w:fill="D9D9D9"/>
          <w:vAlign w:val="center"/>
        </w:tcPr>
        <w:p w14:paraId="6F43F352" w14:textId="77777777" w:rsidR="008734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300" w:lineRule="auto"/>
            <w:jc w:val="center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Academic Year: 2025-26</w:t>
          </w:r>
        </w:p>
      </w:tc>
    </w:tr>
  </w:tbl>
  <w:p w14:paraId="0580CE7A" w14:textId="77777777" w:rsidR="008734E0" w:rsidRDefault="008734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701A6"/>
    <w:multiLevelType w:val="multilevel"/>
    <w:tmpl w:val="E4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C04BF"/>
    <w:multiLevelType w:val="multilevel"/>
    <w:tmpl w:val="B0DC84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92369252">
    <w:abstractNumId w:val="1"/>
  </w:num>
  <w:num w:numId="2" w16cid:durableId="1793556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4E0"/>
    <w:rsid w:val="0030377A"/>
    <w:rsid w:val="008734E0"/>
    <w:rsid w:val="00BA5174"/>
    <w:rsid w:val="00C9026C"/>
    <w:rsid w:val="00D81023"/>
    <w:rsid w:val="00DC19AF"/>
    <w:rsid w:val="00E2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D63B3"/>
  <w15:docId w15:val="{F51200BF-0BC0-4AFC-9AF9-E9F66636D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57" w:type="dxa"/>
        <w:left w:w="115" w:type="dxa"/>
        <w:bottom w:w="57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57" w:type="dxa"/>
        <w:left w:w="115" w:type="dxa"/>
        <w:bottom w:w="57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UdXqtYvQQ9gIJOPX3X0QL+a4Iw==">CgMxLjAyDmguMnNoeTljdWp1OXY4OAByITE3cm5CX2tFVlprMnRJUTVnUldseVdUWW9FNzEweExfdw==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arhat</dc:creator>
  <cp:lastModifiedBy>arhat j</cp:lastModifiedBy>
  <cp:revision>2</cp:revision>
  <dcterms:created xsi:type="dcterms:W3CDTF">2026-04-12T09:07:00Z</dcterms:created>
  <dcterms:modified xsi:type="dcterms:W3CDTF">2026-04-12T09:07:00Z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13b4055ba2a5e1ea7ead941ff06a26759f0994b137cde2d5b7f484e902c078ec</vt:lpwstr>
  </property>
</Properties>
</file>