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Date: 01.05.2025</w:t>
      </w:r>
    </w:p>
    <w:p>
      <w:r>
        <w:t>To: United Nations High Commissioner for Human Rights</w:t>
        <w:br/>
        <w:t>CC: Council of Europe, Venice Commission</w:t>
        <w:br/>
        <w:t>From: A©ktor – Alexei Macheret, Citizen of the Republic of Moldova</w:t>
      </w:r>
    </w:p>
    <w:p>
      <w:r>
        <w:t>Dear Representatives of International Legal and Human Rights Institutions,</w:t>
      </w:r>
    </w:p>
    <w:p>
      <w:r>
        <w:t>I, Alexei Macheret, hereby submit an official request to review systematic violations committed during the ratification of Law No. 112 of July 2, 2014, which approved the Association Agreement between the Republic of Moldova and the EU/Euratom. The attached documents demonstrate that the procedure violated fundamental provisions of the 1969 Vienna Convention on the Law of Treaties (Articles 46, 53, and 64), and failed to comply with the legal reservation that was initially included in the draft version of the law.</w:t>
        <w:br/>
        <w:t>Additional indicators of manipulation include:</w:t>
        <w:br/>
        <w:t xml:space="preserve"> - Participation of Romanian citizens disguised as 'Moldovan diaspora' in the language referendum, which altered the linguistic and electoral balance;</w:t>
        <w:br/>
        <w:t xml:space="preserve"> - Discrimination against Russian-speaking Moldovan citizens through artificial language policy changes that contravene jus cogens and erga omnes obligations;</w:t>
        <w:br/>
        <w:t xml:space="preserve"> - Omission of the legal disclaimer from the final ratified version of Law No. 112.</w:t>
      </w:r>
    </w:p>
    <w:p>
      <w:r>
        <w:t>In accordance with the pacta sunt servanda principle and international public order, I request:</w:t>
      </w:r>
    </w:p>
    <w:p>
      <w:r>
        <w:t>1. That this claim be reviewed under international legal protection mechanisms;</w:t>
        <w:br/>
        <w:t>2. That an independent legal-linguistic review of Law No. 112 and its ratification process be conducted;</w:t>
        <w:br/>
        <w:t>3. That the validity of the Association Agreement be assessed in light of violations of jus cogens norms and the absence of informed consent from the citizens of Moldova.</w:t>
      </w:r>
    </w:p>
    <w:p>
      <w:r>
        <w:t>Respectfully,</w:t>
      </w:r>
    </w:p>
    <w:p>
      <w:r>
        <w:t>A©ktor – Alexei Macheret</w:t>
      </w:r>
    </w:p>
    <w:p>
      <w:r>
        <w:t>Digital signature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