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Обзор нарушений в свете Венской конвенции (1969) и Закона №112</w:t>
      </w:r>
    </w:p>
    <w:p>
      <w:r>
        <w:t>Настоящий обзор подготовлен на основе Венской Конвенции о праве международных договоров 1969 года и Закона №112 от 2 июля 2014 года, ратифицирующего Соглашение об ассоциации между Республикой Молдова и ЕС. Обнаружены следующие нарушения, подтверждающие злоупотребление правовой оговоркой:</w:t>
      </w:r>
    </w:p>
    <w:p>
      <w:r>
        <w:t>1. Согласно статье 46 Венской Конвенции, если согласие государства на обязательность для него договора было выражено с нарушением внутреннего законодательства о компетенции на заключение договоров, это является основанием для оспаривания действительности договора. Закон №112 был принят без соблюдения процедуры юридико-лингвистической экспертизы, несмотря на наличие правовой оговорки.</w:t>
        <w:br/>
        <w:t>2. Согласно статье 53, договор считается ничтожным, если он противоречит норме jus cogens. Насильственное исключение русского языка из процедуры одобрения Соглашения и проведение референдума с участием граждан другого государства (Румынии) под видом 'диаспоры' нарушают нормы недискриминации и права граждан Молдовы.</w:t>
        <w:br/>
        <w:t>3. Статья 64 Венской Конвенции подтверждает, что если новая императивная норма международного права (jus cogens) возникает, любой договор, противоречащий этой норме, становится ничтожным. Это усиливает недействительность Закона №112 в свете нарушений языковых, гражданских и избирательных прав.</w:t>
      </w:r>
    </w:p>
    <w:p>
      <w:r>
        <w:t>Вывод: принятие Закона №112 сопровождалось манипуляцией языковым статусом и участием иностранного электората, что нарушает принцип добросовестности (pacta sunt servanda) и нормы jus cogens. Указанные действия требуют рассмотрения в международных инстанциях как нарушающие публичный порядок и суверенитет Республики Молдова.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