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83D39" w14:textId="77777777" w:rsidR="00FA1481" w:rsidRPr="009A1F3C" w:rsidRDefault="00664A12" w:rsidP="00E40896">
      <w:pPr>
        <w:jc w:val="center"/>
        <w:rPr>
          <w:sz w:val="36"/>
          <w:szCs w:val="36"/>
        </w:rPr>
      </w:pPr>
      <w:r w:rsidRPr="009A1F3C">
        <w:rPr>
          <w:noProof/>
          <w:sz w:val="36"/>
          <w:szCs w:val="36"/>
          <w:lang w:eastAsia="zh-TW"/>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2134203C" w:rsidR="00CE6EAA" w:rsidRPr="009A1F3C" w:rsidRDefault="00D54C91" w:rsidP="00D54C91">
      <w:pPr>
        <w:spacing w:before="120" w:after="120" w:line="360" w:lineRule="auto"/>
        <w:jc w:val="center"/>
        <w:rPr>
          <w:i/>
          <w:sz w:val="22"/>
          <w:szCs w:val="22"/>
        </w:rPr>
      </w:pPr>
      <w:r w:rsidRPr="009A1F3C">
        <w:rPr>
          <w:i/>
          <w:sz w:val="22"/>
          <w:szCs w:val="22"/>
        </w:rPr>
        <w:t>Water Resources Research</w:t>
      </w:r>
    </w:p>
    <w:p w14:paraId="2CB29489" w14:textId="77777777" w:rsidR="00FF3503" w:rsidRPr="009A1F3C" w:rsidRDefault="00FF3503" w:rsidP="00D54C91">
      <w:pPr>
        <w:spacing w:before="120" w:after="120" w:line="360" w:lineRule="auto"/>
        <w:jc w:val="center"/>
        <w:rPr>
          <w:sz w:val="22"/>
          <w:szCs w:val="22"/>
        </w:rPr>
      </w:pPr>
      <w:r w:rsidRPr="009A1F3C">
        <w:rPr>
          <w:sz w:val="22"/>
          <w:szCs w:val="22"/>
        </w:rPr>
        <w:t>Supporting Information for</w:t>
      </w:r>
    </w:p>
    <w:p w14:paraId="111446F1" w14:textId="77777777" w:rsidR="00D54C91" w:rsidRPr="009A1F3C" w:rsidRDefault="00D54C91" w:rsidP="00D54C91">
      <w:pPr>
        <w:spacing w:before="120" w:after="120" w:line="360" w:lineRule="auto"/>
        <w:jc w:val="both"/>
        <w:rPr>
          <w:b/>
          <w:szCs w:val="24"/>
        </w:rPr>
      </w:pPr>
      <w:r w:rsidRPr="009A1F3C">
        <w:rPr>
          <w:b/>
          <w:szCs w:val="24"/>
        </w:rPr>
        <w:t>Biogeochemical Hotspots: Role of Small Water Bodies in Landscape Nutrient Processing</w:t>
      </w:r>
    </w:p>
    <w:p w14:paraId="24E8211D" w14:textId="08BD2189" w:rsidR="00D54C91" w:rsidRPr="009A1F3C" w:rsidRDefault="00D54C91" w:rsidP="00D54C91">
      <w:pPr>
        <w:spacing w:before="120" w:after="120" w:line="360" w:lineRule="auto"/>
        <w:jc w:val="center"/>
        <w:rPr>
          <w:szCs w:val="24"/>
          <w:vertAlign w:val="superscript"/>
        </w:rPr>
      </w:pPr>
      <w:r w:rsidRPr="009A1F3C">
        <w:rPr>
          <w:szCs w:val="24"/>
        </w:rPr>
        <w:t>F. Y. Cheng</w:t>
      </w:r>
      <w:r w:rsidRPr="009A1F3C">
        <w:rPr>
          <w:szCs w:val="24"/>
          <w:vertAlign w:val="superscript"/>
        </w:rPr>
        <w:t>1</w:t>
      </w:r>
      <w:bookmarkStart w:id="0" w:name="_GoBack"/>
      <w:bookmarkEnd w:id="0"/>
      <w:r w:rsidR="0066512E" w:rsidRPr="009A1F3C">
        <w:rPr>
          <w:szCs w:val="24"/>
        </w:rPr>
        <w:t xml:space="preserve">, </w:t>
      </w:r>
      <w:r w:rsidRPr="009A1F3C">
        <w:rPr>
          <w:szCs w:val="24"/>
        </w:rPr>
        <w:t>N. B. Basu</w:t>
      </w:r>
      <w:r w:rsidRPr="009A1F3C">
        <w:rPr>
          <w:szCs w:val="24"/>
          <w:vertAlign w:val="superscript"/>
        </w:rPr>
        <w:t>1,2</w:t>
      </w:r>
    </w:p>
    <w:p w14:paraId="2D63EF1F" w14:textId="43B9D1EE" w:rsidR="00D54C91" w:rsidRPr="009A1F3C" w:rsidRDefault="00D54C91" w:rsidP="00D54C91">
      <w:pPr>
        <w:jc w:val="center"/>
        <w:rPr>
          <w:sz w:val="18"/>
          <w:szCs w:val="18"/>
        </w:rPr>
      </w:pPr>
      <w:r w:rsidRPr="009A1F3C">
        <w:rPr>
          <w:sz w:val="18"/>
          <w:szCs w:val="18"/>
          <w:vertAlign w:val="superscript"/>
        </w:rPr>
        <w:t>1</w:t>
      </w:r>
      <w:r w:rsidRPr="009A1F3C">
        <w:rPr>
          <w:sz w:val="18"/>
          <w:szCs w:val="18"/>
        </w:rPr>
        <w:t xml:space="preserve"> Department of Civil and Environmental Engineering, University of Waterloo, Waterloo, Ontario, Canada, </w:t>
      </w:r>
    </w:p>
    <w:p w14:paraId="66765452" w14:textId="6DD9485C" w:rsidR="00D54C91" w:rsidRPr="009A1F3C" w:rsidRDefault="00D54C91" w:rsidP="00D54C91">
      <w:pPr>
        <w:jc w:val="center"/>
        <w:rPr>
          <w:sz w:val="18"/>
          <w:szCs w:val="18"/>
        </w:rPr>
      </w:pPr>
      <w:r w:rsidRPr="009A1F3C">
        <w:rPr>
          <w:sz w:val="18"/>
          <w:szCs w:val="18"/>
          <w:vertAlign w:val="superscript"/>
        </w:rPr>
        <w:t>2</w:t>
      </w:r>
      <w:r w:rsidRPr="009A1F3C">
        <w:rPr>
          <w:sz w:val="18"/>
          <w:szCs w:val="18"/>
        </w:rPr>
        <w:t xml:space="preserve"> Department of Earth and Environmental Sciences, University of Waterloo, Waterloo, Ontario, Canada</w:t>
      </w:r>
    </w:p>
    <w:p w14:paraId="71891EDF" w14:textId="77777777" w:rsidR="00094365" w:rsidRPr="009A1F3C" w:rsidRDefault="00A50033" w:rsidP="00825950">
      <w:pPr>
        <w:spacing w:before="100" w:beforeAutospacing="1" w:after="100" w:afterAutospacing="1"/>
        <w:jc w:val="center"/>
        <w:rPr>
          <w:sz w:val="22"/>
          <w:szCs w:val="22"/>
        </w:rPr>
      </w:pPr>
      <w:r w:rsidRPr="009A1F3C" w:rsidDel="00A50033">
        <w:rPr>
          <w:sz w:val="22"/>
          <w:szCs w:val="22"/>
        </w:rPr>
        <w:t xml:space="preserve"> </w:t>
      </w:r>
    </w:p>
    <w:p w14:paraId="1CD128B3" w14:textId="7A3D6BBF" w:rsidR="00111843" w:rsidRPr="009A1F3C" w:rsidRDefault="00D54C91" w:rsidP="00111843">
      <w:pPr>
        <w:rPr>
          <w:b/>
        </w:rPr>
      </w:pPr>
      <w:r w:rsidRPr="009A1F3C">
        <w:rPr>
          <w:b/>
        </w:rPr>
        <w:t>C</w:t>
      </w:r>
      <w:r w:rsidR="00111843" w:rsidRPr="009A1F3C">
        <w:rPr>
          <w:b/>
        </w:rPr>
        <w:t>ontents of this file</w:t>
      </w:r>
      <w:r w:rsidR="00E43D2D" w:rsidRPr="009A1F3C">
        <w:rPr>
          <w:b/>
        </w:rPr>
        <w:t xml:space="preserve"> </w:t>
      </w:r>
    </w:p>
    <w:p w14:paraId="1F13291B" w14:textId="77777777" w:rsidR="00E43D2D" w:rsidRPr="009A1F3C" w:rsidRDefault="00E43D2D" w:rsidP="00111843"/>
    <w:p w14:paraId="6807841A" w14:textId="57BC7893" w:rsidR="00111843" w:rsidRDefault="00D54C91" w:rsidP="00111843">
      <w:pPr>
        <w:ind w:left="720"/>
        <w:rPr>
          <w:sz w:val="22"/>
          <w:szCs w:val="22"/>
        </w:rPr>
      </w:pPr>
      <w:r w:rsidRPr="009A1F3C">
        <w:rPr>
          <w:sz w:val="22"/>
          <w:szCs w:val="22"/>
        </w:rPr>
        <w:t>Figure S1</w:t>
      </w:r>
    </w:p>
    <w:p w14:paraId="3528BFA1" w14:textId="4529EDC5" w:rsidR="00A0057D" w:rsidRDefault="00A0057D" w:rsidP="00111843">
      <w:pPr>
        <w:ind w:left="720"/>
        <w:rPr>
          <w:sz w:val="22"/>
          <w:szCs w:val="22"/>
        </w:rPr>
      </w:pPr>
      <w:r>
        <w:rPr>
          <w:sz w:val="22"/>
          <w:szCs w:val="22"/>
        </w:rPr>
        <w:t>Figure S2</w:t>
      </w:r>
    </w:p>
    <w:p w14:paraId="774C4CC4" w14:textId="74936E10" w:rsidR="00A0057D" w:rsidRPr="009A1F3C" w:rsidRDefault="00A0057D" w:rsidP="00111843">
      <w:pPr>
        <w:ind w:left="720"/>
        <w:rPr>
          <w:sz w:val="22"/>
          <w:szCs w:val="22"/>
        </w:rPr>
      </w:pPr>
      <w:r>
        <w:rPr>
          <w:sz w:val="22"/>
          <w:szCs w:val="22"/>
        </w:rPr>
        <w:t>Figure S3</w:t>
      </w:r>
    </w:p>
    <w:p w14:paraId="0363B503" w14:textId="77777777" w:rsidR="00111843" w:rsidRPr="009A1F3C" w:rsidRDefault="00111843" w:rsidP="00111843">
      <w:pPr>
        <w:ind w:left="720"/>
      </w:pPr>
    </w:p>
    <w:p w14:paraId="2323E638" w14:textId="77777777" w:rsidR="00111843" w:rsidRPr="009A1F3C" w:rsidRDefault="00111843" w:rsidP="00111843">
      <w:pPr>
        <w:rPr>
          <w:b/>
        </w:rPr>
      </w:pPr>
      <w:r w:rsidRPr="009A1F3C">
        <w:rPr>
          <w:b/>
        </w:rPr>
        <w:t>Additional Supporting Information (Files uploaded separately)</w:t>
      </w:r>
    </w:p>
    <w:p w14:paraId="3343B9AD" w14:textId="77777777" w:rsidR="00111843" w:rsidRPr="009A1F3C" w:rsidRDefault="00111843" w:rsidP="00111843">
      <w:pPr>
        <w:rPr>
          <w:b/>
        </w:rPr>
      </w:pPr>
    </w:p>
    <w:p w14:paraId="62051E00" w14:textId="76A780FC" w:rsidR="00111843" w:rsidRPr="009A1F3C" w:rsidRDefault="00A0057D" w:rsidP="00111843">
      <w:pPr>
        <w:ind w:left="720"/>
        <w:rPr>
          <w:sz w:val="22"/>
          <w:szCs w:val="22"/>
        </w:rPr>
      </w:pPr>
      <w:r>
        <w:rPr>
          <w:sz w:val="22"/>
          <w:szCs w:val="22"/>
        </w:rPr>
        <w:t>Dataset - Table</w:t>
      </w:r>
      <w:r w:rsidR="0035344E" w:rsidRPr="009A1F3C">
        <w:rPr>
          <w:sz w:val="22"/>
          <w:szCs w:val="22"/>
        </w:rPr>
        <w:t xml:space="preserve"> S1</w:t>
      </w:r>
      <w:r w:rsidR="0066512E" w:rsidRPr="009A1F3C">
        <w:rPr>
          <w:sz w:val="22"/>
          <w:szCs w:val="22"/>
        </w:rPr>
        <w:t xml:space="preserve"> (2016WR020102-Supp-ds01.xlsx)</w:t>
      </w:r>
    </w:p>
    <w:p w14:paraId="795CD27E" w14:textId="77777777" w:rsidR="00111843" w:rsidRPr="009A1F3C" w:rsidRDefault="00111843" w:rsidP="00FF3503">
      <w:pPr>
        <w:spacing w:before="100" w:beforeAutospacing="1" w:after="100" w:afterAutospacing="1"/>
        <w:rPr>
          <w:b/>
          <w:bCs/>
          <w:szCs w:val="24"/>
        </w:rPr>
      </w:pPr>
    </w:p>
    <w:p w14:paraId="79042C92" w14:textId="77777777" w:rsidR="00FF3503" w:rsidRPr="009A1F3C" w:rsidRDefault="00FF3503" w:rsidP="00FF3503">
      <w:pPr>
        <w:spacing w:before="100" w:beforeAutospacing="1" w:after="100" w:afterAutospacing="1"/>
        <w:rPr>
          <w:b/>
          <w:szCs w:val="24"/>
        </w:rPr>
      </w:pPr>
      <w:r w:rsidRPr="009A1F3C">
        <w:rPr>
          <w:b/>
          <w:bCs/>
          <w:szCs w:val="24"/>
        </w:rPr>
        <w:t>Introduction</w:t>
      </w:r>
      <w:r w:rsidRPr="009A1F3C">
        <w:rPr>
          <w:b/>
          <w:szCs w:val="24"/>
        </w:rPr>
        <w:t xml:space="preserve"> </w:t>
      </w:r>
    </w:p>
    <w:p w14:paraId="302EE689" w14:textId="7A198317" w:rsidR="00FF3503" w:rsidRPr="009A1F3C" w:rsidRDefault="009A1F3C" w:rsidP="00FF3503">
      <w:pPr>
        <w:spacing w:before="100" w:beforeAutospacing="1" w:after="100" w:afterAutospacing="1"/>
        <w:rPr>
          <w:szCs w:val="24"/>
        </w:rPr>
      </w:pPr>
      <w:r w:rsidRPr="009A1F3C">
        <w:rPr>
          <w:szCs w:val="24"/>
        </w:rPr>
        <w:t>Figure S1</w:t>
      </w:r>
      <w:r w:rsidR="0035344E" w:rsidRPr="009A1F3C">
        <w:rPr>
          <w:szCs w:val="24"/>
        </w:rPr>
        <w:t xml:space="preserve"> shows the nutrient removal rate constants using the continuously stirred tank reactor (CSTR) assumption rather than a plug-flow assumption. The governing equation is described in Table 1 of the article. </w:t>
      </w:r>
    </w:p>
    <w:p w14:paraId="201D2657" w14:textId="3EA878DF" w:rsidR="0035344E" w:rsidRPr="009A1F3C" w:rsidRDefault="009A1F3C" w:rsidP="009A1F3C">
      <w:pPr>
        <w:spacing w:before="100" w:beforeAutospacing="1" w:after="100" w:afterAutospacing="1"/>
        <w:rPr>
          <w:szCs w:val="24"/>
        </w:rPr>
      </w:pPr>
      <w:r>
        <w:rPr>
          <w:szCs w:val="24"/>
        </w:rPr>
        <w:t xml:space="preserve">Additional analyses related to the wetted area-volume ratio as a function of size are described with </w:t>
      </w:r>
      <w:r w:rsidRPr="009A1F3C">
        <w:rPr>
          <w:szCs w:val="24"/>
        </w:rPr>
        <w:t>Figures S2 and S3</w:t>
      </w:r>
      <w:r>
        <w:rPr>
          <w:szCs w:val="24"/>
        </w:rPr>
        <w:t>.</w:t>
      </w:r>
      <w:r w:rsidRPr="009A1F3C">
        <w:rPr>
          <w:szCs w:val="24"/>
        </w:rPr>
        <w:t xml:space="preserve"> </w:t>
      </w:r>
    </w:p>
    <w:p w14:paraId="1954993F" w14:textId="77777777" w:rsidR="0035344E" w:rsidRPr="009A1F3C" w:rsidRDefault="0035344E" w:rsidP="0035344E">
      <w:pPr>
        <w:spacing w:before="100" w:beforeAutospacing="1" w:after="100" w:afterAutospacing="1"/>
        <w:ind w:left="360"/>
        <w:rPr>
          <w:szCs w:val="24"/>
        </w:rPr>
      </w:pPr>
    </w:p>
    <w:p w14:paraId="2218C341" w14:textId="77777777" w:rsidR="00015F74" w:rsidRPr="009A1F3C" w:rsidRDefault="00015F74">
      <w:pPr>
        <w:rPr>
          <w:b/>
          <w:szCs w:val="24"/>
        </w:rPr>
      </w:pPr>
    </w:p>
    <w:p w14:paraId="2B074851" w14:textId="77777777" w:rsidR="002C030F" w:rsidRPr="009A1F3C" w:rsidRDefault="002C030F">
      <w:pPr>
        <w:rPr>
          <w:szCs w:val="24"/>
        </w:rPr>
      </w:pPr>
    </w:p>
    <w:p w14:paraId="516E0BA3" w14:textId="77777777" w:rsidR="0020183F" w:rsidRPr="009A1F3C" w:rsidRDefault="0020183F">
      <w:pPr>
        <w:rPr>
          <w:szCs w:val="24"/>
        </w:rPr>
      </w:pPr>
    </w:p>
    <w:p w14:paraId="25F95BBE" w14:textId="77777777" w:rsidR="0035344E" w:rsidRPr="009A1F3C" w:rsidRDefault="0035344E" w:rsidP="00EF25A3">
      <w:pPr>
        <w:pStyle w:val="SMText"/>
        <w:ind w:firstLine="0"/>
        <w:rPr>
          <w:szCs w:val="24"/>
        </w:rPr>
      </w:pPr>
    </w:p>
    <w:p w14:paraId="6A413EA5" w14:textId="77777777" w:rsidR="0035344E" w:rsidRPr="009A1F3C" w:rsidRDefault="0035344E" w:rsidP="00EF25A3">
      <w:pPr>
        <w:pStyle w:val="SMText"/>
        <w:ind w:firstLine="0"/>
        <w:rPr>
          <w:szCs w:val="24"/>
        </w:rPr>
      </w:pPr>
    </w:p>
    <w:p w14:paraId="640D29BD" w14:textId="77777777" w:rsidR="0035344E" w:rsidRPr="009A1F3C" w:rsidRDefault="0035344E" w:rsidP="00EF25A3">
      <w:pPr>
        <w:pStyle w:val="SMText"/>
        <w:ind w:firstLine="0"/>
        <w:rPr>
          <w:szCs w:val="24"/>
        </w:rPr>
      </w:pPr>
    </w:p>
    <w:p w14:paraId="7D4F33A2" w14:textId="350C6434" w:rsidR="0035344E" w:rsidRPr="009A1F3C" w:rsidRDefault="0035344E" w:rsidP="00A0057D">
      <w:pPr>
        <w:pStyle w:val="SMText"/>
        <w:ind w:firstLine="0"/>
        <w:jc w:val="both"/>
        <w:rPr>
          <w:szCs w:val="24"/>
        </w:rPr>
      </w:pPr>
      <w:r w:rsidRPr="009A1F3C">
        <w:rPr>
          <w:szCs w:val="24"/>
        </w:rPr>
        <w:lastRenderedPageBreak/>
        <w:t xml:space="preserve">A well-mixed reactor (CSTR) assumption yields significant inverse relationships between the removal rate constant and the hydraulic residence time similar to the plug-flow assumption. </w:t>
      </w:r>
    </w:p>
    <w:p w14:paraId="13729C6D" w14:textId="09279448" w:rsidR="0035344E" w:rsidRPr="009A1F3C" w:rsidRDefault="00B9752B" w:rsidP="00B9752B">
      <w:pPr>
        <w:pStyle w:val="SMHeading"/>
        <w:jc w:val="center"/>
      </w:pPr>
      <w:r w:rsidRPr="009A1F3C">
        <w:rPr>
          <w:noProof/>
          <w:lang w:eastAsia="zh-TW"/>
        </w:rPr>
        <w:drawing>
          <wp:inline distT="0" distB="0" distL="0" distR="0" wp14:anchorId="60B6C426" wp14:editId="3E79069D">
            <wp:extent cx="5029200" cy="43590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6031" t="5473" r="13413" b="5520"/>
                    <a:stretch/>
                  </pic:blipFill>
                  <pic:spPr bwMode="auto">
                    <a:xfrm>
                      <a:off x="0" y="0"/>
                      <a:ext cx="5038155" cy="4366829"/>
                    </a:xfrm>
                    <a:prstGeom prst="rect">
                      <a:avLst/>
                    </a:prstGeom>
                    <a:noFill/>
                    <a:ln>
                      <a:noFill/>
                    </a:ln>
                    <a:extLst>
                      <a:ext uri="{53640926-AAD7-44D8-BBD7-CCE9431645EC}">
                        <a14:shadowObscured xmlns:a14="http://schemas.microsoft.com/office/drawing/2010/main"/>
                      </a:ext>
                    </a:extLst>
                  </pic:spPr>
                </pic:pic>
              </a:graphicData>
            </a:graphic>
          </wp:inline>
        </w:drawing>
      </w:r>
    </w:p>
    <w:p w14:paraId="2A630BF5" w14:textId="56F2514D" w:rsidR="003E1980" w:rsidRPr="009A1F3C" w:rsidRDefault="00227D86" w:rsidP="00A0057D">
      <w:pPr>
        <w:pStyle w:val="SMHeading"/>
        <w:jc w:val="center"/>
      </w:pPr>
      <w:r w:rsidRPr="009A1F3C">
        <w:t>Figure S1</w:t>
      </w:r>
      <w:r w:rsidR="003E1980" w:rsidRPr="009A1F3C">
        <w:t xml:space="preserve">. </w:t>
      </w:r>
      <w:r w:rsidR="0035344E" w:rsidRPr="009A1F3C">
        <w:rPr>
          <w:b w:val="0"/>
        </w:rPr>
        <w:t>Removal rate constant (</w:t>
      </w:r>
      <w:r w:rsidR="0035344E" w:rsidRPr="009A1F3C">
        <w:rPr>
          <w:b w:val="0"/>
          <w:i/>
        </w:rPr>
        <w:t>k</w:t>
      </w:r>
      <w:r w:rsidR="0035344E" w:rsidRPr="009A1F3C">
        <w:rPr>
          <w:b w:val="0"/>
          <w:i/>
          <w:vertAlign w:val="subscript"/>
        </w:rPr>
        <w:t>v,c</w:t>
      </w:r>
      <w:r w:rsidR="0035344E" w:rsidRPr="009A1F3C">
        <w:rPr>
          <w:b w:val="0"/>
        </w:rPr>
        <w:t>) – hydraulic residence time relationships (</w:t>
      </w:r>
      <w:r w:rsidR="0035344E" w:rsidRPr="009A1F3C">
        <w:rPr>
          <w:b w:val="0"/>
          <w:i/>
          <w:lang w:val="el-GR"/>
        </w:rPr>
        <w:t>τ</w:t>
      </w:r>
      <w:r w:rsidR="0035344E" w:rsidRPr="009A1F3C">
        <w:rPr>
          <w:b w:val="0"/>
        </w:rPr>
        <w:t>)  for a) total nitrogen (TN), b) nitrate (NO</w:t>
      </w:r>
      <w:r w:rsidR="0035344E" w:rsidRPr="009A1F3C">
        <w:rPr>
          <w:b w:val="0"/>
          <w:vertAlign w:val="subscript"/>
        </w:rPr>
        <w:t>3</w:t>
      </w:r>
      <w:r w:rsidR="0035344E" w:rsidRPr="009A1F3C">
        <w:rPr>
          <w:b w:val="0"/>
          <w:vertAlign w:val="superscript"/>
        </w:rPr>
        <w:t>-</w:t>
      </w:r>
      <w:r w:rsidR="0035344E" w:rsidRPr="009A1F3C">
        <w:rPr>
          <w:b w:val="0"/>
        </w:rPr>
        <w:t>), c) total phosphorus (TP), d) phosphate (PO</w:t>
      </w:r>
      <w:r w:rsidR="0035344E" w:rsidRPr="009A1F3C">
        <w:rPr>
          <w:b w:val="0"/>
          <w:vertAlign w:val="subscript"/>
        </w:rPr>
        <w:t>4</w:t>
      </w:r>
      <w:r w:rsidR="0035344E" w:rsidRPr="009A1F3C">
        <w:rPr>
          <w:b w:val="0"/>
          <w:vertAlign w:val="superscript"/>
        </w:rPr>
        <w:t>3-</w:t>
      </w:r>
      <w:r w:rsidR="0035344E" w:rsidRPr="009A1F3C">
        <w:rPr>
          <w:b w:val="0"/>
        </w:rPr>
        <w:t>). Same as Figure 3 but with CSTR model.</w:t>
      </w:r>
    </w:p>
    <w:p w14:paraId="34CE76F8" w14:textId="3FC70B5B" w:rsidR="009A1F3C" w:rsidRPr="009A1F3C" w:rsidRDefault="009A1F3C">
      <w:pPr>
        <w:rPr>
          <w:szCs w:val="24"/>
        </w:rPr>
      </w:pPr>
      <w:r w:rsidRPr="009A1F3C">
        <w:rPr>
          <w:szCs w:val="24"/>
        </w:rPr>
        <w:br w:type="page"/>
      </w:r>
    </w:p>
    <w:p w14:paraId="743EACD1" w14:textId="18B378F0" w:rsidR="009A1F3C" w:rsidRPr="009A1F3C" w:rsidRDefault="009A1F3C" w:rsidP="009A1F3C">
      <w:pPr>
        <w:pStyle w:val="MyHeading2"/>
        <w:jc w:val="left"/>
        <w:rPr>
          <w:rFonts w:cs="Times New Roman"/>
          <w:sz w:val="24"/>
          <w:szCs w:val="24"/>
        </w:rPr>
      </w:pPr>
      <w:bookmarkStart w:id="1" w:name="_Toc479785617"/>
      <w:r w:rsidRPr="009A1F3C">
        <w:rPr>
          <w:rFonts w:cs="Times New Roman"/>
          <w:sz w:val="24"/>
          <w:szCs w:val="24"/>
        </w:rPr>
        <w:lastRenderedPageBreak/>
        <w:t xml:space="preserve">Supplementary Analysis: Exploring Dominant Controls on the Observed Inverse </w:t>
      </w:r>
      <w:r w:rsidRPr="009A1F3C">
        <w:rPr>
          <w:rFonts w:cs="Times New Roman"/>
          <w:i/>
          <w:sz w:val="24"/>
          <w:szCs w:val="24"/>
        </w:rPr>
        <w:t>k-SA</w:t>
      </w:r>
      <w:r w:rsidRPr="009A1F3C">
        <w:rPr>
          <w:rFonts w:cs="Times New Roman"/>
          <w:sz w:val="24"/>
          <w:szCs w:val="24"/>
        </w:rPr>
        <w:t xml:space="preserve"> Relationship</w:t>
      </w:r>
      <w:bookmarkEnd w:id="1"/>
    </w:p>
    <w:p w14:paraId="2378B434" w14:textId="77777777" w:rsidR="009A1F3C" w:rsidRPr="009A1F3C" w:rsidRDefault="009A1F3C" w:rsidP="009A1F3C">
      <w:pPr>
        <w:pStyle w:val="ListParagraph"/>
        <w:ind w:left="0"/>
        <w:jc w:val="both"/>
        <w:rPr>
          <w:szCs w:val="24"/>
        </w:rPr>
      </w:pPr>
    </w:p>
    <w:p w14:paraId="68A6067B" w14:textId="152245D6" w:rsidR="009A1F3C" w:rsidRPr="009A1F3C" w:rsidRDefault="009A1F3C" w:rsidP="009A1F3C">
      <w:pPr>
        <w:pStyle w:val="ListParagraph"/>
        <w:ind w:left="0"/>
        <w:jc w:val="both"/>
        <w:rPr>
          <w:szCs w:val="24"/>
        </w:rPr>
      </w:pPr>
      <w:r w:rsidRPr="009A1F3C">
        <w:rPr>
          <w:szCs w:val="24"/>
        </w:rPr>
        <w:t>Both the data and model results reveal an inverse relationship between the water residence time (or surface area) and the effective nutrient removal rate constant</w:t>
      </w:r>
      <w:r w:rsidR="00A0057D">
        <w:rPr>
          <w:szCs w:val="24"/>
        </w:rPr>
        <w:t xml:space="preserve"> (Section 3.1 and 3.3)</w:t>
      </w:r>
      <w:r w:rsidRPr="009A1F3C">
        <w:rPr>
          <w:szCs w:val="24"/>
        </w:rPr>
        <w:t>. The cause of this behaviour can likely be attributed to the higher ratio of wetted sediment area and the volume of water (</w:t>
      </w:r>
      <w:r w:rsidRPr="009A1F3C">
        <w:rPr>
          <w:i/>
          <w:szCs w:val="24"/>
        </w:rPr>
        <w:t>WA:V</w:t>
      </w:r>
      <w:r w:rsidRPr="009A1F3C">
        <w:rPr>
          <w:szCs w:val="24"/>
        </w:rPr>
        <w:t xml:space="preserve"> ratio) in small water bodies. As discussed previously, the sediment zone is a critical part of the nitrogen and phosphorus cycles where denitrifying bacteria can remove nitrogen and is the storage zone for sediment bound P. Here, the relationship between the </w:t>
      </w:r>
      <w:r w:rsidRPr="009A1F3C">
        <w:rPr>
          <w:i/>
          <w:szCs w:val="24"/>
        </w:rPr>
        <w:t>WA:V</w:t>
      </w:r>
      <w:r w:rsidRPr="009A1F3C">
        <w:rPr>
          <w:szCs w:val="24"/>
        </w:rPr>
        <w:t xml:space="preserve"> ratio and size using an analytical expression is shown.</w:t>
      </w:r>
    </w:p>
    <w:p w14:paraId="4453837C" w14:textId="77777777" w:rsidR="009A1F3C" w:rsidRPr="009A1F3C" w:rsidRDefault="009A1F3C" w:rsidP="009A1F3C">
      <w:pPr>
        <w:pStyle w:val="ListParagraph"/>
        <w:ind w:left="0"/>
        <w:jc w:val="both"/>
        <w:rPr>
          <w:szCs w:val="24"/>
        </w:rPr>
      </w:pPr>
    </w:p>
    <w:p w14:paraId="52E80DFA" w14:textId="097FD7A5" w:rsidR="009A1F3C" w:rsidRPr="009A1F3C" w:rsidRDefault="009A1F3C" w:rsidP="009A1F3C">
      <w:pPr>
        <w:jc w:val="both"/>
        <w:rPr>
          <w:szCs w:val="24"/>
        </w:rPr>
      </w:pPr>
      <w:r w:rsidRPr="009A1F3C">
        <w:rPr>
          <w:rFonts w:eastAsiaTheme="minorEastAsia"/>
          <w:szCs w:val="24"/>
        </w:rPr>
        <w:t xml:space="preserve">The model described above assumes a cylindrical bathymetry for ease of calculations. The wetted area term serves as a link between the bathymetry and the removal processes in the system. To determine a relationship between the size of a water body and wetted area, the bathymetric relationship developed by </w:t>
      </w:r>
      <w:r w:rsidRPr="009A1F3C">
        <w:rPr>
          <w:szCs w:val="24"/>
        </w:rPr>
        <w:t xml:space="preserve">Hayashi and van der Kamp </w:t>
      </w:r>
      <w:r w:rsidRPr="009A1F3C">
        <w:rPr>
          <w:szCs w:val="24"/>
        </w:rPr>
        <w:fldChar w:fldCharType="begin"/>
      </w:r>
      <w:r w:rsidRPr="009A1F3C">
        <w:rPr>
          <w:szCs w:val="24"/>
        </w:rPr>
        <w:instrText xml:space="preserve"> ADDIN ZOTERO_ITEM CSL_CITATION {"citationID":"12na02b3ph","properties":{"formattedCitation":"[2000]","plainCitation":"[2000]"},"citationItems":[{"id":185,"uris":["http://zotero.org/users/2589439/items/NB3RKUTQ"],"uri":["http://zotero.org/users/2589439/items/NB3RKUTQ"],"itemData":{"id":185,"type":"article-journal","title":"Simple equations to represent the volume–area–depth relations of shallow wetlands in small topographic depressions","container-title":"Journal of Hydrology","page":"74-85","volume":"237","issue":"1-2","source":"CrossRef","DOI":"10.1016/S0022-1694(00)00300-0","ISSN":"00221694","language":"en","author":[{"family":"Hayashi","given":"M"},{"family":"Kamp","given":"G","non-dropping-particle":"van der"}],"issued":{"date-parts":[["2000",10]]}},"suppress-author":true}],"schema":"https://github.com/citation-style-language/schema/raw/master/csl-citation.json"} </w:instrText>
      </w:r>
      <w:r w:rsidRPr="009A1F3C">
        <w:rPr>
          <w:szCs w:val="24"/>
        </w:rPr>
        <w:fldChar w:fldCharType="separate"/>
      </w:r>
      <w:r w:rsidRPr="009A1F3C">
        <w:rPr>
          <w:szCs w:val="24"/>
        </w:rPr>
        <w:t>[2000]</w:t>
      </w:r>
      <w:r w:rsidRPr="009A1F3C">
        <w:rPr>
          <w:szCs w:val="24"/>
        </w:rPr>
        <w:fldChar w:fldCharType="end"/>
      </w:r>
      <w:r w:rsidRPr="009A1F3C">
        <w:rPr>
          <w:szCs w:val="24"/>
        </w:rPr>
        <w:t xml:space="preserve"> was used: </w:t>
      </w:r>
    </w:p>
    <w:p w14:paraId="2B6D192C" w14:textId="77777777" w:rsidR="009A1F3C" w:rsidRPr="009A1F3C" w:rsidRDefault="009A1F3C" w:rsidP="009A1F3C">
      <w:pPr>
        <w:jc w:val="both"/>
        <w:rPr>
          <w:szCs w:val="24"/>
        </w:rPr>
      </w:pPr>
    </w:p>
    <w:p w14:paraId="136B6F4D" w14:textId="2BAAFE59" w:rsidR="009A1F3C" w:rsidRPr="009A1F3C" w:rsidRDefault="00C82FC1" w:rsidP="00A0057D">
      <w:pPr>
        <w:pStyle w:val="ListParagraph"/>
        <w:jc w:val="right"/>
        <w:rPr>
          <w:rFonts w:eastAsiaTheme="minorEastAsia"/>
          <w:szCs w:val="24"/>
        </w:rPr>
      </w:pPr>
      <m:oMath>
        <m:f>
          <m:fPr>
            <m:ctrlPr>
              <w:rPr>
                <w:rFonts w:ascii="Cambria Math" w:hAnsi="Cambria Math"/>
                <w:i/>
                <w:szCs w:val="24"/>
              </w:rPr>
            </m:ctrlPr>
          </m:fPr>
          <m:num>
            <m:r>
              <w:rPr>
                <w:rFonts w:ascii="Cambria Math" w:hAnsi="Cambria Math"/>
                <w:szCs w:val="24"/>
              </w:rPr>
              <m:t>y</m:t>
            </m:r>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o</m:t>
                </m:r>
              </m:sub>
            </m:sSub>
          </m:den>
        </m:f>
        <m:r>
          <w:rPr>
            <w:rFonts w:ascii="Cambria Math" w:hAnsi="Cambria Math"/>
            <w:szCs w:val="24"/>
          </w:rPr>
          <m:t xml:space="preserve">= </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r</m:t>
                    </m:r>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o</m:t>
                        </m:r>
                      </m:sub>
                    </m:sSub>
                  </m:den>
                </m:f>
              </m:e>
            </m:d>
          </m:e>
          <m:sup>
            <m:r>
              <w:rPr>
                <w:rFonts w:ascii="Cambria Math" w:hAnsi="Cambria Math"/>
                <w:szCs w:val="24"/>
              </w:rPr>
              <m:t>p</m:t>
            </m:r>
          </m:sup>
        </m:sSup>
      </m:oMath>
      <w:r w:rsidR="009A1F3C" w:rsidRPr="009A1F3C">
        <w:rPr>
          <w:rFonts w:eastAsiaTheme="minorEastAsia"/>
          <w:szCs w:val="24"/>
        </w:rPr>
        <w:tab/>
      </w:r>
      <w:r w:rsidR="009A1F3C" w:rsidRPr="009A1F3C">
        <w:rPr>
          <w:rFonts w:eastAsiaTheme="minorEastAsia"/>
          <w:szCs w:val="24"/>
        </w:rPr>
        <w:tab/>
      </w:r>
      <w:r w:rsidR="009A1F3C" w:rsidRPr="009A1F3C">
        <w:rPr>
          <w:rFonts w:eastAsiaTheme="minorEastAsia"/>
          <w:szCs w:val="24"/>
        </w:rPr>
        <w:tab/>
      </w:r>
      <w:r w:rsidR="009A1F3C" w:rsidRPr="009A1F3C">
        <w:rPr>
          <w:rFonts w:eastAsiaTheme="minorEastAsia"/>
          <w:szCs w:val="24"/>
        </w:rPr>
        <w:tab/>
      </w:r>
      <w:r w:rsidR="009A1F3C" w:rsidRPr="009A1F3C">
        <w:rPr>
          <w:rFonts w:eastAsiaTheme="minorEastAsia"/>
          <w:szCs w:val="24"/>
        </w:rPr>
        <w:tab/>
      </w:r>
      <w:r w:rsidR="009A1F3C" w:rsidRPr="009A1F3C">
        <w:rPr>
          <w:rFonts w:eastAsiaTheme="minorEastAsia"/>
          <w:szCs w:val="24"/>
        </w:rPr>
        <w:tab/>
        <w:t>(S1)</w:t>
      </w:r>
    </w:p>
    <w:p w14:paraId="1B9986EF" w14:textId="77777777" w:rsidR="009A1F3C" w:rsidRPr="009A1F3C" w:rsidRDefault="009A1F3C" w:rsidP="009A1F3C">
      <w:pPr>
        <w:pStyle w:val="ListParagraph"/>
        <w:jc w:val="both"/>
        <w:rPr>
          <w:rFonts w:eastAsiaTheme="minorEastAsia"/>
          <w:szCs w:val="24"/>
        </w:rPr>
      </w:pPr>
    </w:p>
    <w:p w14:paraId="6BDA4DDF" w14:textId="1A81A093" w:rsidR="009A1F3C" w:rsidRPr="009A1F3C" w:rsidRDefault="009A1F3C" w:rsidP="009A1F3C">
      <w:pPr>
        <w:jc w:val="both"/>
        <w:rPr>
          <w:szCs w:val="24"/>
        </w:rPr>
      </w:pPr>
      <w:r w:rsidRPr="009A1F3C">
        <w:rPr>
          <w:szCs w:val="24"/>
        </w:rPr>
        <w:t xml:space="preserve">where </w:t>
      </w:r>
      <w:r w:rsidRPr="009A1F3C">
        <w:rPr>
          <w:i/>
          <w:szCs w:val="24"/>
        </w:rPr>
        <w:t>y</w:t>
      </w:r>
      <w:r w:rsidRPr="009A1F3C">
        <w:rPr>
          <w:szCs w:val="24"/>
        </w:rPr>
        <w:t xml:space="preserve"> and </w:t>
      </w:r>
      <w:r w:rsidRPr="009A1F3C">
        <w:rPr>
          <w:i/>
          <w:szCs w:val="24"/>
        </w:rPr>
        <w:t>r</w:t>
      </w:r>
      <w:r w:rsidRPr="009A1F3C">
        <w:rPr>
          <w:szCs w:val="24"/>
        </w:rPr>
        <w:t xml:space="preserve"> are the maximum depth and radius of the water body [L], </w:t>
      </w:r>
      <w:r w:rsidRPr="009A1F3C">
        <w:rPr>
          <w:i/>
          <w:szCs w:val="24"/>
        </w:rPr>
        <w:t>y</w:t>
      </w:r>
      <w:r w:rsidRPr="009A1F3C">
        <w:rPr>
          <w:i/>
          <w:szCs w:val="24"/>
          <w:vertAlign w:val="subscript"/>
        </w:rPr>
        <w:t>o</w:t>
      </w:r>
      <w:r w:rsidRPr="009A1F3C">
        <w:rPr>
          <w:szCs w:val="24"/>
        </w:rPr>
        <w:t xml:space="preserve"> and </w:t>
      </w:r>
      <w:r w:rsidRPr="009A1F3C">
        <w:rPr>
          <w:i/>
          <w:szCs w:val="24"/>
        </w:rPr>
        <w:t>r</w:t>
      </w:r>
      <w:r w:rsidRPr="009A1F3C">
        <w:rPr>
          <w:i/>
          <w:szCs w:val="24"/>
          <w:vertAlign w:val="subscript"/>
        </w:rPr>
        <w:t>o</w:t>
      </w:r>
      <w:r w:rsidRPr="009A1F3C">
        <w:rPr>
          <w:szCs w:val="24"/>
        </w:rPr>
        <w:t xml:space="preserve"> are the depth and radius at a reference depth [L ] and </w:t>
      </w:r>
      <w:r w:rsidRPr="009A1F3C">
        <w:rPr>
          <w:i/>
          <w:szCs w:val="24"/>
        </w:rPr>
        <w:t>p</w:t>
      </w:r>
      <w:r w:rsidRPr="009A1F3C">
        <w:rPr>
          <w:szCs w:val="24"/>
        </w:rPr>
        <w:t xml:space="preserve"> is a shape factor. The shape factor describes the slope of the water body where </w:t>
      </w:r>
      <w:r w:rsidRPr="009A1F3C">
        <w:rPr>
          <w:i/>
          <w:szCs w:val="24"/>
        </w:rPr>
        <w:t>p</w:t>
      </w:r>
      <w:r w:rsidRPr="009A1F3C">
        <w:rPr>
          <w:szCs w:val="24"/>
        </w:rPr>
        <w:t xml:space="preserve">=1 creates a cone and </w:t>
      </w:r>
      <w:r w:rsidRPr="009A1F3C">
        <w:rPr>
          <w:i/>
          <w:szCs w:val="24"/>
        </w:rPr>
        <w:t>p</w:t>
      </w:r>
      <w:r w:rsidRPr="009A1F3C">
        <w:rPr>
          <w:szCs w:val="24"/>
        </w:rPr>
        <w:t xml:space="preserve"> approaching infinity creates a cylinder (</w:t>
      </w:r>
      <w:r w:rsidRPr="009A1F3C">
        <w:rPr>
          <w:b/>
          <w:szCs w:val="24"/>
        </w:rPr>
        <w:t>Figure S2</w:t>
      </w:r>
      <w:r w:rsidRPr="009A1F3C">
        <w:rPr>
          <w:szCs w:val="24"/>
        </w:rPr>
        <w:t xml:space="preserve">). Surface area-wetted area-volume relationships were developed by integrating the bathymetric equation (i.e. the slope profile) around the vertical axis. </w:t>
      </w:r>
    </w:p>
    <w:p w14:paraId="30EA560E" w14:textId="77777777" w:rsidR="009A1F3C" w:rsidRPr="009A1F3C" w:rsidRDefault="009A1F3C" w:rsidP="00A0057D">
      <w:pPr>
        <w:pStyle w:val="ListParagraph"/>
        <w:jc w:val="center"/>
        <w:rPr>
          <w:szCs w:val="24"/>
        </w:rPr>
      </w:pPr>
      <w:r w:rsidRPr="009A1F3C">
        <w:rPr>
          <w:noProof/>
          <w:szCs w:val="24"/>
          <w:lang w:eastAsia="zh-TW"/>
        </w:rPr>
        <w:drawing>
          <wp:inline distT="0" distB="0" distL="0" distR="0" wp14:anchorId="51BEA583" wp14:editId="352E8EF6">
            <wp:extent cx="3781425" cy="17206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5028" cy="1726795"/>
                    </a:xfrm>
                    <a:prstGeom prst="rect">
                      <a:avLst/>
                    </a:prstGeom>
                    <a:noFill/>
                  </pic:spPr>
                </pic:pic>
              </a:graphicData>
            </a:graphic>
          </wp:inline>
        </w:drawing>
      </w:r>
    </w:p>
    <w:p w14:paraId="28F41C3F" w14:textId="7E88A2A8" w:rsidR="009A1F3C" w:rsidRPr="009A1F3C" w:rsidRDefault="009A1F3C" w:rsidP="00A0057D">
      <w:pPr>
        <w:pStyle w:val="FigTitles"/>
        <w:rPr>
          <w:szCs w:val="24"/>
          <w:vertAlign w:val="superscript"/>
        </w:rPr>
      </w:pPr>
      <w:bookmarkStart w:id="2" w:name="_Toc478366692"/>
      <w:r w:rsidRPr="009A1F3C">
        <w:rPr>
          <w:b/>
          <w:szCs w:val="24"/>
        </w:rPr>
        <w:t xml:space="preserve">Figure S2. </w:t>
      </w:r>
      <w:r w:rsidRPr="009A1F3C">
        <w:rPr>
          <w:szCs w:val="24"/>
        </w:rPr>
        <w:t>Example slope profile of symmetric basin following y = y</w:t>
      </w:r>
      <w:r w:rsidRPr="009A1F3C">
        <w:rPr>
          <w:szCs w:val="24"/>
          <w:vertAlign w:val="subscript"/>
        </w:rPr>
        <w:t>o</w:t>
      </w:r>
      <w:r w:rsidRPr="009A1F3C">
        <w:rPr>
          <w:szCs w:val="24"/>
        </w:rPr>
        <w:t>(r/r</w:t>
      </w:r>
      <w:r w:rsidRPr="009A1F3C">
        <w:rPr>
          <w:szCs w:val="24"/>
          <w:vertAlign w:val="subscript"/>
        </w:rPr>
        <w:t>o</w:t>
      </w:r>
      <w:r w:rsidRPr="009A1F3C">
        <w:rPr>
          <w:szCs w:val="24"/>
        </w:rPr>
        <w:t>)</w:t>
      </w:r>
      <w:r w:rsidRPr="009A1F3C">
        <w:rPr>
          <w:szCs w:val="24"/>
          <w:vertAlign w:val="superscript"/>
        </w:rPr>
        <w:t>p</w:t>
      </w:r>
      <w:bookmarkEnd w:id="2"/>
    </w:p>
    <w:p w14:paraId="37EC6977" w14:textId="77777777" w:rsidR="009A1F3C" w:rsidRPr="009A1F3C" w:rsidRDefault="009A1F3C" w:rsidP="009A1F3C">
      <w:pPr>
        <w:jc w:val="both"/>
        <w:rPr>
          <w:szCs w:val="24"/>
          <w:vertAlign w:val="superscript"/>
        </w:rPr>
      </w:pPr>
    </w:p>
    <w:p w14:paraId="0396C623" w14:textId="7DDD5CF0" w:rsidR="009A1F3C" w:rsidRPr="009A1F3C" w:rsidRDefault="009A1F3C" w:rsidP="009A1F3C">
      <w:pPr>
        <w:jc w:val="both"/>
        <w:rPr>
          <w:szCs w:val="24"/>
        </w:rPr>
      </w:pPr>
      <w:r w:rsidRPr="009A1F3C">
        <w:rPr>
          <w:szCs w:val="24"/>
        </w:rPr>
        <w:t>The effect of varying bathymetry was explored by calculating the wetted area – volume ratio of the water body. As such, the wetted contact area (</w:t>
      </w:r>
      <w:r w:rsidRPr="009A1F3C">
        <w:rPr>
          <w:i/>
          <w:szCs w:val="24"/>
        </w:rPr>
        <w:t>S</w:t>
      </w:r>
      <w:r w:rsidRPr="009A1F3C">
        <w:rPr>
          <w:i/>
          <w:szCs w:val="24"/>
          <w:vertAlign w:val="subscript"/>
        </w:rPr>
        <w:t>y</w:t>
      </w:r>
      <w:r w:rsidRPr="009A1F3C">
        <w:rPr>
          <w:szCs w:val="24"/>
        </w:rPr>
        <w:t>) and volume (</w:t>
      </w:r>
      <w:r w:rsidRPr="009A1F3C">
        <w:rPr>
          <w:i/>
          <w:szCs w:val="24"/>
        </w:rPr>
        <w:t>V</w:t>
      </w:r>
      <w:r w:rsidRPr="009A1F3C">
        <w:rPr>
          <w:szCs w:val="24"/>
        </w:rPr>
        <w:t xml:space="preserve">) were calculated using </w:t>
      </w:r>
      <w:r w:rsidRPr="009A1F3C">
        <w:rPr>
          <w:b/>
          <w:szCs w:val="24"/>
        </w:rPr>
        <w:t>Equations S2 and S3</w:t>
      </w:r>
      <w:r w:rsidRPr="009A1F3C">
        <w:rPr>
          <w:szCs w:val="24"/>
        </w:rPr>
        <w:t xml:space="preserve"> respectively:</w:t>
      </w:r>
    </w:p>
    <w:p w14:paraId="4A3BE044" w14:textId="3AB266E9" w:rsidR="009A1F3C" w:rsidRPr="009A1F3C" w:rsidRDefault="00C82FC1" w:rsidP="00A0057D">
      <w:pPr>
        <w:pStyle w:val="ListParagraph"/>
        <w:jc w:val="right"/>
        <w:rPr>
          <w:rFonts w:eastAsiaTheme="minorEastAsia"/>
          <w:szCs w:val="24"/>
          <w:vertAlign w:val="superscript"/>
        </w:rPr>
      </w:pPr>
      <m:oMath>
        <m:sSub>
          <m:sSubPr>
            <m:ctrlPr>
              <w:rPr>
                <w:rFonts w:ascii="Cambria Math" w:hAnsi="Cambria Math"/>
                <w:i/>
                <w:szCs w:val="24"/>
                <w:vertAlign w:val="superscript"/>
              </w:rPr>
            </m:ctrlPr>
          </m:sSubPr>
          <m:e>
            <m:r>
              <w:rPr>
                <w:rFonts w:ascii="Cambria Math" w:hAnsi="Cambria Math"/>
                <w:szCs w:val="24"/>
                <w:vertAlign w:val="superscript"/>
              </w:rPr>
              <m:t>S</m:t>
            </m:r>
          </m:e>
          <m:sub>
            <m:r>
              <w:rPr>
                <w:rFonts w:ascii="Cambria Math" w:hAnsi="Cambria Math"/>
                <w:szCs w:val="24"/>
                <w:vertAlign w:val="superscript"/>
              </w:rPr>
              <m:t>y</m:t>
            </m:r>
          </m:sub>
        </m:sSub>
        <m:r>
          <w:rPr>
            <w:rFonts w:ascii="Cambria Math" w:hAnsi="Cambria Math"/>
            <w:szCs w:val="24"/>
            <w:vertAlign w:val="superscript"/>
          </w:rPr>
          <m:t>=2π</m:t>
        </m:r>
        <m:nary>
          <m:naryPr>
            <m:limLoc m:val="subSup"/>
            <m:ctrlPr>
              <w:rPr>
                <w:rFonts w:ascii="Cambria Math" w:hAnsi="Cambria Math"/>
                <w:i/>
                <w:szCs w:val="24"/>
                <w:vertAlign w:val="superscript"/>
              </w:rPr>
            </m:ctrlPr>
          </m:naryPr>
          <m:sub>
            <m:sSub>
              <m:sSubPr>
                <m:ctrlPr>
                  <w:rPr>
                    <w:rFonts w:ascii="Cambria Math" w:hAnsi="Cambria Math"/>
                    <w:i/>
                    <w:szCs w:val="24"/>
                    <w:vertAlign w:val="superscript"/>
                  </w:rPr>
                </m:ctrlPr>
              </m:sSubPr>
              <m:e>
                <m:r>
                  <w:rPr>
                    <w:rFonts w:ascii="Cambria Math" w:hAnsi="Cambria Math"/>
                    <w:szCs w:val="24"/>
                    <w:vertAlign w:val="superscript"/>
                  </w:rPr>
                  <m:t>y</m:t>
                </m:r>
              </m:e>
              <m:sub>
                <m:r>
                  <w:rPr>
                    <w:rFonts w:ascii="Cambria Math" w:hAnsi="Cambria Math"/>
                    <w:szCs w:val="24"/>
                    <w:vertAlign w:val="superscript"/>
                  </w:rPr>
                  <m:t>1</m:t>
                </m:r>
              </m:sub>
            </m:sSub>
          </m:sub>
          <m:sup>
            <m:sSub>
              <m:sSubPr>
                <m:ctrlPr>
                  <w:rPr>
                    <w:rFonts w:ascii="Cambria Math" w:hAnsi="Cambria Math"/>
                    <w:i/>
                    <w:szCs w:val="24"/>
                    <w:vertAlign w:val="superscript"/>
                  </w:rPr>
                </m:ctrlPr>
              </m:sSubPr>
              <m:e>
                <m:r>
                  <w:rPr>
                    <w:rFonts w:ascii="Cambria Math" w:hAnsi="Cambria Math"/>
                    <w:szCs w:val="24"/>
                    <w:vertAlign w:val="superscript"/>
                  </w:rPr>
                  <m:t>y</m:t>
                </m:r>
              </m:e>
              <m:sub>
                <m:r>
                  <w:rPr>
                    <w:rFonts w:ascii="Cambria Math" w:hAnsi="Cambria Math"/>
                    <w:szCs w:val="24"/>
                    <w:vertAlign w:val="superscript"/>
                  </w:rPr>
                  <m:t>2</m:t>
                </m:r>
              </m:sub>
            </m:sSub>
          </m:sup>
          <m:e>
            <m:r>
              <w:rPr>
                <w:rFonts w:ascii="Cambria Math" w:hAnsi="Cambria Math"/>
                <w:szCs w:val="24"/>
                <w:vertAlign w:val="superscript"/>
              </w:rPr>
              <m:t>r(y)</m:t>
            </m:r>
            <m:rad>
              <m:radPr>
                <m:degHide m:val="1"/>
                <m:ctrlPr>
                  <w:rPr>
                    <w:rFonts w:ascii="Cambria Math" w:hAnsi="Cambria Math"/>
                    <w:i/>
                    <w:szCs w:val="24"/>
                    <w:vertAlign w:val="superscript"/>
                  </w:rPr>
                </m:ctrlPr>
              </m:radPr>
              <m:deg/>
              <m:e>
                <m:r>
                  <w:rPr>
                    <w:rFonts w:ascii="Cambria Math" w:hAnsi="Cambria Math"/>
                    <w:szCs w:val="24"/>
                    <w:vertAlign w:val="superscript"/>
                  </w:rPr>
                  <m:t>1+</m:t>
                </m:r>
                <m:sSup>
                  <m:sSupPr>
                    <m:ctrlPr>
                      <w:rPr>
                        <w:rFonts w:ascii="Cambria Math" w:hAnsi="Cambria Math"/>
                        <w:i/>
                        <w:szCs w:val="24"/>
                        <w:vertAlign w:val="superscript"/>
                      </w:rPr>
                    </m:ctrlPr>
                  </m:sSupPr>
                  <m:e>
                    <m:d>
                      <m:dPr>
                        <m:ctrlPr>
                          <w:rPr>
                            <w:rFonts w:ascii="Cambria Math" w:hAnsi="Cambria Math"/>
                            <w:i/>
                            <w:szCs w:val="24"/>
                            <w:vertAlign w:val="superscript"/>
                          </w:rPr>
                        </m:ctrlPr>
                      </m:dPr>
                      <m:e>
                        <m:f>
                          <m:fPr>
                            <m:ctrlPr>
                              <w:rPr>
                                <w:rFonts w:ascii="Cambria Math" w:hAnsi="Cambria Math"/>
                                <w:i/>
                                <w:szCs w:val="24"/>
                                <w:vertAlign w:val="superscript"/>
                              </w:rPr>
                            </m:ctrlPr>
                          </m:fPr>
                          <m:num>
                            <m:r>
                              <w:rPr>
                                <w:rFonts w:ascii="Cambria Math" w:hAnsi="Cambria Math"/>
                                <w:szCs w:val="24"/>
                                <w:vertAlign w:val="superscript"/>
                              </w:rPr>
                              <m:t>dr</m:t>
                            </m:r>
                          </m:num>
                          <m:den>
                            <m:r>
                              <w:rPr>
                                <w:rFonts w:ascii="Cambria Math" w:hAnsi="Cambria Math"/>
                                <w:szCs w:val="24"/>
                                <w:vertAlign w:val="superscript"/>
                              </w:rPr>
                              <m:t>dy</m:t>
                            </m:r>
                          </m:den>
                        </m:f>
                      </m:e>
                    </m:d>
                  </m:e>
                  <m:sup>
                    <m:r>
                      <w:rPr>
                        <w:rFonts w:ascii="Cambria Math" w:hAnsi="Cambria Math"/>
                        <w:szCs w:val="24"/>
                        <w:vertAlign w:val="superscript"/>
                      </w:rPr>
                      <m:t>2</m:t>
                    </m:r>
                  </m:sup>
                </m:sSup>
              </m:e>
            </m:rad>
            <m:r>
              <w:rPr>
                <w:rFonts w:ascii="Cambria Math" w:hAnsi="Cambria Math"/>
                <w:szCs w:val="24"/>
                <w:vertAlign w:val="superscript"/>
              </w:rPr>
              <m:t>dy</m:t>
            </m:r>
          </m:e>
        </m:nary>
      </m:oMath>
      <w:r w:rsidR="009A1F3C" w:rsidRPr="009A1F3C">
        <w:rPr>
          <w:rFonts w:eastAsiaTheme="minorEastAsia"/>
          <w:szCs w:val="24"/>
          <w:vertAlign w:val="superscript"/>
        </w:rPr>
        <w:t xml:space="preserve">  </w:t>
      </w:r>
      <w:r w:rsidR="009A1F3C" w:rsidRPr="009A1F3C">
        <w:rPr>
          <w:rFonts w:eastAsiaTheme="minorEastAsia"/>
          <w:szCs w:val="24"/>
          <w:vertAlign w:val="superscript"/>
        </w:rPr>
        <w:tab/>
      </w:r>
      <w:r w:rsidR="009A1F3C" w:rsidRPr="009A1F3C">
        <w:rPr>
          <w:rFonts w:eastAsiaTheme="minorEastAsia"/>
          <w:szCs w:val="24"/>
          <w:vertAlign w:val="superscript"/>
        </w:rPr>
        <w:tab/>
      </w:r>
      <w:r w:rsidR="009A1F3C" w:rsidRPr="009A1F3C">
        <w:rPr>
          <w:rFonts w:eastAsiaTheme="minorEastAsia"/>
          <w:szCs w:val="24"/>
          <w:vertAlign w:val="superscript"/>
        </w:rPr>
        <w:tab/>
      </w:r>
      <w:r w:rsidR="009A1F3C" w:rsidRPr="009A1F3C">
        <w:rPr>
          <w:rFonts w:eastAsiaTheme="minorEastAsia"/>
          <w:szCs w:val="24"/>
          <w:vertAlign w:val="superscript"/>
        </w:rPr>
        <w:tab/>
      </w:r>
      <w:r w:rsidR="009A1F3C" w:rsidRPr="009A1F3C">
        <w:rPr>
          <w:rFonts w:eastAsiaTheme="minorEastAsia"/>
          <w:szCs w:val="24"/>
        </w:rPr>
        <w:t>(S2)</w:t>
      </w:r>
    </w:p>
    <w:p w14:paraId="76176957" w14:textId="77777777" w:rsidR="009A1F3C" w:rsidRPr="009A1F3C" w:rsidRDefault="009A1F3C" w:rsidP="009A1F3C">
      <w:pPr>
        <w:pStyle w:val="ListParagraph"/>
        <w:jc w:val="both"/>
        <w:rPr>
          <w:rFonts w:eastAsiaTheme="minorEastAsia"/>
          <w:szCs w:val="24"/>
        </w:rPr>
      </w:pPr>
    </w:p>
    <w:p w14:paraId="7B312A3C" w14:textId="303567C7" w:rsidR="009A1F3C" w:rsidRPr="009A1F3C" w:rsidRDefault="009A1F3C" w:rsidP="00A0057D">
      <w:pPr>
        <w:pStyle w:val="ListParagraph"/>
        <w:jc w:val="right"/>
        <w:rPr>
          <w:rFonts w:eastAsiaTheme="minorEastAsia"/>
          <w:szCs w:val="24"/>
        </w:rPr>
      </w:pPr>
      <m:oMath>
        <m:r>
          <w:rPr>
            <w:rFonts w:ascii="Cambria Math" w:eastAsiaTheme="minorEastAsia" w:hAnsi="Cambria Math"/>
            <w:szCs w:val="24"/>
          </w:rPr>
          <m:t>V= π</m:t>
        </m:r>
        <m:nary>
          <m:naryPr>
            <m:limLoc m:val="subSup"/>
            <m:ctrlPr>
              <w:rPr>
                <w:rFonts w:ascii="Cambria Math" w:eastAsiaTheme="minorEastAsia" w:hAnsi="Cambria Math"/>
                <w:i/>
                <w:szCs w:val="24"/>
              </w:rPr>
            </m:ctrlPr>
          </m:naryPr>
          <m:sub>
            <m:r>
              <w:rPr>
                <w:rFonts w:ascii="Cambria Math" w:eastAsiaTheme="minorEastAsia" w:hAnsi="Cambria Math"/>
                <w:szCs w:val="24"/>
              </w:rPr>
              <m:t>y1</m:t>
            </m:r>
          </m:sub>
          <m:sup>
            <m:r>
              <w:rPr>
                <w:rFonts w:ascii="Cambria Math" w:eastAsiaTheme="minorEastAsia" w:hAnsi="Cambria Math"/>
                <w:szCs w:val="24"/>
              </w:rPr>
              <m:t>y2</m:t>
            </m:r>
          </m:sup>
          <m:e>
            <m:r>
              <w:rPr>
                <w:rFonts w:ascii="Cambria Math" w:eastAsiaTheme="minorEastAsia" w:hAnsi="Cambria Math"/>
                <w:szCs w:val="24"/>
              </w:rPr>
              <m:t>y</m:t>
            </m:r>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2</m:t>
                </m:r>
              </m:sup>
            </m:sSup>
          </m:e>
        </m:nary>
        <m:r>
          <w:rPr>
            <w:rFonts w:ascii="Cambria Math" w:eastAsiaTheme="minorEastAsia" w:hAnsi="Cambria Math"/>
            <w:szCs w:val="24"/>
          </w:rPr>
          <m:t>dy</m:t>
        </m:r>
      </m:oMath>
      <w:r w:rsidR="00A0057D">
        <w:rPr>
          <w:rFonts w:eastAsiaTheme="minorEastAsia"/>
          <w:szCs w:val="24"/>
        </w:rPr>
        <w:t xml:space="preserve">   </w:t>
      </w:r>
      <w:r w:rsidR="00A0057D">
        <w:rPr>
          <w:rFonts w:eastAsiaTheme="minorEastAsia"/>
          <w:szCs w:val="24"/>
        </w:rPr>
        <w:tab/>
      </w:r>
      <w:r w:rsidR="00A0057D">
        <w:rPr>
          <w:rFonts w:eastAsiaTheme="minorEastAsia"/>
          <w:szCs w:val="24"/>
        </w:rPr>
        <w:tab/>
      </w:r>
      <w:r w:rsidR="00A0057D">
        <w:rPr>
          <w:rFonts w:eastAsiaTheme="minorEastAsia"/>
          <w:szCs w:val="24"/>
        </w:rPr>
        <w:tab/>
      </w:r>
      <w:r w:rsidR="00A0057D">
        <w:rPr>
          <w:rFonts w:eastAsiaTheme="minorEastAsia"/>
          <w:szCs w:val="24"/>
        </w:rPr>
        <w:tab/>
      </w:r>
      <w:r w:rsidRPr="009A1F3C">
        <w:rPr>
          <w:rFonts w:eastAsiaTheme="minorEastAsia"/>
          <w:szCs w:val="24"/>
        </w:rPr>
        <w:tab/>
        <w:t>(S3)</w:t>
      </w:r>
    </w:p>
    <w:p w14:paraId="282E34E9" w14:textId="77777777" w:rsidR="009A1F3C" w:rsidRPr="009A1F3C" w:rsidRDefault="009A1F3C" w:rsidP="009A1F3C">
      <w:pPr>
        <w:pStyle w:val="ListParagraph"/>
        <w:jc w:val="both"/>
        <w:rPr>
          <w:rFonts w:eastAsiaTheme="minorEastAsia"/>
          <w:szCs w:val="24"/>
        </w:rPr>
      </w:pPr>
    </w:p>
    <w:p w14:paraId="0FB0A4E4" w14:textId="20F30B90" w:rsidR="009A1F3C" w:rsidRPr="009A1F3C" w:rsidRDefault="009A1F3C" w:rsidP="009A1F3C">
      <w:pPr>
        <w:jc w:val="both"/>
        <w:rPr>
          <w:rFonts w:eastAsiaTheme="minorEastAsia"/>
          <w:b/>
          <w:szCs w:val="24"/>
        </w:rPr>
      </w:pPr>
      <w:r w:rsidRPr="009A1F3C">
        <w:rPr>
          <w:rFonts w:eastAsiaTheme="minorEastAsia"/>
          <w:szCs w:val="24"/>
        </w:rPr>
        <w:lastRenderedPageBreak/>
        <w:t xml:space="preserve">where </w:t>
      </w:r>
      <w:r w:rsidRPr="009A1F3C">
        <w:rPr>
          <w:rFonts w:eastAsiaTheme="minorEastAsia"/>
          <w:i/>
          <w:szCs w:val="24"/>
        </w:rPr>
        <w:t>Sy</w:t>
      </w:r>
      <w:r w:rsidRPr="009A1F3C">
        <w:rPr>
          <w:rFonts w:eastAsiaTheme="minorEastAsia"/>
          <w:szCs w:val="24"/>
        </w:rPr>
        <w:t xml:space="preserve">, which represents the wetted contact area and is the surface of revolution along the y-axis, </w:t>
      </w:r>
      <w:r w:rsidRPr="009A1F3C">
        <w:rPr>
          <w:rFonts w:eastAsiaTheme="minorEastAsia"/>
          <w:i/>
          <w:szCs w:val="24"/>
        </w:rPr>
        <w:t>r</w:t>
      </w:r>
      <w:r w:rsidRPr="009A1F3C">
        <w:rPr>
          <w:rFonts w:eastAsiaTheme="minorEastAsia"/>
          <w:szCs w:val="24"/>
        </w:rPr>
        <w:t xml:space="preserve"> is the radius as a function of depth (based on </w:t>
      </w:r>
      <w:r w:rsidRPr="009A1F3C">
        <w:rPr>
          <w:rFonts w:eastAsiaTheme="minorEastAsia"/>
          <w:b/>
          <w:szCs w:val="24"/>
        </w:rPr>
        <w:t>Equation S1</w:t>
      </w:r>
      <w:r w:rsidRPr="009A1F3C">
        <w:rPr>
          <w:rFonts w:eastAsiaTheme="minorEastAsia"/>
          <w:szCs w:val="24"/>
        </w:rPr>
        <w:t xml:space="preserve">), </w:t>
      </w:r>
      <w:r w:rsidRPr="009A1F3C">
        <w:rPr>
          <w:rFonts w:eastAsiaTheme="minorEastAsia"/>
          <w:i/>
          <w:szCs w:val="24"/>
        </w:rPr>
        <w:t>V</w:t>
      </w:r>
      <w:r w:rsidRPr="009A1F3C">
        <w:rPr>
          <w:rFonts w:eastAsiaTheme="minorEastAsia"/>
          <w:szCs w:val="24"/>
        </w:rPr>
        <w:t xml:space="preserve"> is the volume of the solid of revolution along the y-axis.</w:t>
      </w:r>
    </w:p>
    <w:p w14:paraId="06B274EE" w14:textId="77777777" w:rsidR="009A1F3C" w:rsidRPr="009A1F3C" w:rsidRDefault="009A1F3C" w:rsidP="009A1F3C">
      <w:pPr>
        <w:pStyle w:val="ListParagraph"/>
        <w:ind w:left="0"/>
        <w:jc w:val="both"/>
        <w:rPr>
          <w:szCs w:val="24"/>
        </w:rPr>
      </w:pPr>
    </w:p>
    <w:p w14:paraId="073C877C" w14:textId="2DE0B443" w:rsidR="009A1F3C" w:rsidRPr="009A1F3C" w:rsidRDefault="009A1F3C" w:rsidP="009A1F3C">
      <w:pPr>
        <w:pStyle w:val="ListParagraph"/>
        <w:ind w:left="0"/>
        <w:jc w:val="both"/>
        <w:rPr>
          <w:szCs w:val="24"/>
        </w:rPr>
      </w:pPr>
      <w:r w:rsidRPr="009A1F3C">
        <w:rPr>
          <w:szCs w:val="24"/>
        </w:rPr>
        <w:t xml:space="preserve">A common metric for the biological richness and diversity of a wetland is the perimeter-area ratio </w:t>
      </w:r>
      <w:r w:rsidRPr="009A1F3C">
        <w:rPr>
          <w:szCs w:val="24"/>
        </w:rPr>
        <w:fldChar w:fldCharType="begin"/>
      </w:r>
      <w:r w:rsidRPr="009A1F3C">
        <w:rPr>
          <w:szCs w:val="24"/>
        </w:rPr>
        <w:instrText xml:space="preserve"> ADDIN ZOTERO_ITEM CSL_CITATION {"citationID":"a2l3fue7hvr","properties":{"formattedCitation":"{\\rtf [{\\i{}Helzer and Jelinski}, 1999; {\\i{}Fairbairn and Dinsmore}, 2001]}","plainCitation":"[Helzer and Jelinski, 1999; Fairbairn and Dinsmore, 2001]"},"citationItems":[{"id":3617,"uris":["http://zotero.org/users/2589439/items/W89V4MWP"],"uri":["http://zotero.org/users/2589439/items/W89V4MWP"],"itemData":{"id":3617,"type":"article-journal","title":"The relative importance of patch area and perimeter-area ratio to grassland breeding birds","container-title":"Ecological Applications","page":"1448-1458","volume":"9","issue":"4","source":"CrossRef","DOI":"10.1890/1051-0761(1999)009[1448:TRIOPA]2.0.CO;2","ISSN":"1051-0761","language":"en","author":[{"family":"Helzer","given":"Christopher J."},{"family":"Jelinski","given":"Dennis E."}],"issued":{"date-parts":[["1999",11]]}}},{"id":3616,"uris":["http://zotero.org/users/2589439/items/GHB4I7A4"],"uri":["http://zotero.org/users/2589439/items/GHB4I7A4"],"itemData":{"id":3616,"type":"article-journal","title":"Local and landscape-level influences on wetland bird communities of the prairie pothole region of Iowa, USA","container-title":"Wetlands","page":"41-47","volume":"21","issue":"1","source":"CrossRef","DOI":"10.1672/0277-5212(2001)021[0041:LALLIO]2.0.CO;2","ISSN":"0277-5212, 1943-6246","language":"en","author":[{"family":"Fairbairn","given":"Steve E."},{"family":"Dinsmore","given":"James J."}],"issued":{"date-parts":[["2001",3]]}}}],"schema":"https://github.com/citation-style-language/schema/raw/master/csl-citation.json"} </w:instrText>
      </w:r>
      <w:r w:rsidRPr="009A1F3C">
        <w:rPr>
          <w:szCs w:val="24"/>
        </w:rPr>
        <w:fldChar w:fldCharType="separate"/>
      </w:r>
      <w:r w:rsidRPr="009A1F3C">
        <w:rPr>
          <w:szCs w:val="24"/>
        </w:rPr>
        <w:t>[</w:t>
      </w:r>
      <w:r w:rsidRPr="009A1F3C">
        <w:rPr>
          <w:i/>
          <w:iCs/>
          <w:szCs w:val="24"/>
        </w:rPr>
        <w:t>Helzer and Jelinski</w:t>
      </w:r>
      <w:r w:rsidRPr="009A1F3C">
        <w:rPr>
          <w:szCs w:val="24"/>
        </w:rPr>
        <w:t xml:space="preserve">, 1999; </w:t>
      </w:r>
      <w:r w:rsidRPr="009A1F3C">
        <w:rPr>
          <w:i/>
          <w:iCs/>
          <w:szCs w:val="24"/>
        </w:rPr>
        <w:t>Fairbairn and Dinsmore</w:t>
      </w:r>
      <w:r w:rsidRPr="009A1F3C">
        <w:rPr>
          <w:szCs w:val="24"/>
        </w:rPr>
        <w:t>, 2001]</w:t>
      </w:r>
      <w:r w:rsidRPr="009A1F3C">
        <w:rPr>
          <w:szCs w:val="24"/>
        </w:rPr>
        <w:fldChar w:fldCharType="end"/>
      </w:r>
      <w:r w:rsidRPr="009A1F3C">
        <w:rPr>
          <w:szCs w:val="24"/>
        </w:rPr>
        <w:t xml:space="preserve">. The same metric can also be used in determining wetland hydrological behaviour. Studies such as those by </w:t>
      </w:r>
      <w:r w:rsidRPr="009A1F3C">
        <w:rPr>
          <w:i/>
          <w:szCs w:val="24"/>
        </w:rPr>
        <w:t xml:space="preserve">Millar </w:t>
      </w:r>
      <w:r w:rsidRPr="009A1F3C">
        <w:rPr>
          <w:i/>
          <w:szCs w:val="24"/>
        </w:rPr>
        <w:fldChar w:fldCharType="begin"/>
      </w:r>
      <w:r w:rsidRPr="009A1F3C">
        <w:rPr>
          <w:i/>
          <w:szCs w:val="24"/>
        </w:rPr>
        <w:instrText xml:space="preserve"> ADDIN ZOTERO_ITEM CSL_CITATION {"citationID":"a1ga018r8cn","properties":{"formattedCitation":"[1971]","plainCitation":"[1971]"},"citationItems":[{"id":3618,"uris":["http://zotero.org/users/2589439/items/RRP6HTS7"],"uri":["http://zotero.org/users/2589439/items/RRP6HTS7"],"itemData":{"id":3618,"type":"article-journal","title":"Shoreline-area ratio as a factor in rate of water loss from small sloughs","container-title":"Journal of Hydrology","page":"259-284","volume":"14","issue":"3-4","source":"CrossRef","DOI":"10.1016/0022-1694(71)90038-2","ISSN":"00221694","language":"en","author":[{"family":"Millar","given":"J.B."}],"issued":{"date-parts":[["1971",12]]}},"suppress-author":true}],"schema":"https://github.com/citation-style-language/schema/raw/master/csl-citation.json"} </w:instrText>
      </w:r>
      <w:r w:rsidRPr="009A1F3C">
        <w:rPr>
          <w:i/>
          <w:szCs w:val="24"/>
        </w:rPr>
        <w:fldChar w:fldCharType="separate"/>
      </w:r>
      <w:r w:rsidRPr="009A1F3C">
        <w:rPr>
          <w:szCs w:val="24"/>
        </w:rPr>
        <w:t>[1971]</w:t>
      </w:r>
      <w:r w:rsidRPr="009A1F3C">
        <w:rPr>
          <w:i/>
          <w:szCs w:val="24"/>
        </w:rPr>
        <w:fldChar w:fldCharType="end"/>
      </w:r>
      <w:r w:rsidRPr="009A1F3C">
        <w:rPr>
          <w:i/>
          <w:szCs w:val="24"/>
        </w:rPr>
        <w:t xml:space="preserve"> </w:t>
      </w:r>
      <w:r w:rsidRPr="009A1F3C">
        <w:rPr>
          <w:szCs w:val="24"/>
        </w:rPr>
        <w:t xml:space="preserve">and </w:t>
      </w:r>
      <w:r w:rsidRPr="009A1F3C">
        <w:rPr>
          <w:i/>
          <w:szCs w:val="24"/>
        </w:rPr>
        <w:t>Hayashi and Rosenberry</w:t>
      </w:r>
      <w:r w:rsidRPr="009A1F3C">
        <w:rPr>
          <w:szCs w:val="24"/>
        </w:rPr>
        <w:t xml:space="preserve"> </w:t>
      </w:r>
      <w:r w:rsidRPr="009A1F3C">
        <w:rPr>
          <w:szCs w:val="24"/>
        </w:rPr>
        <w:fldChar w:fldCharType="begin"/>
      </w:r>
      <w:r w:rsidRPr="009A1F3C">
        <w:rPr>
          <w:szCs w:val="24"/>
        </w:rPr>
        <w:instrText xml:space="preserve"> ADDIN ZOTERO_ITEM CSL_CITATION {"citationID":"f70v6NqP","properties":{"formattedCitation":"[2002]","plainCitation":"[2002]"},"citationItems":[{"id":3619,"uris":["http://zotero.org/users/2589439/items/Z77SVNJ9"],"uri":["http://zotero.org/users/2589439/items/Z77SVNJ9"],"itemData":{"id":3619,"type":"article-journal","title":"Effects of ground water exchange on the hydrology and ecology of surface water","container-title":"Ground Water","page":"309-316","volume":"40","issue":"3","source":"CrossRef","DOI":"10.1111/j.1745-6584.2002.tb02659.x","ISSN":"0017-467X, 1745-6584","language":"en","author":[{"family":"Hayashi","given":"Masaki"},{"family":"Rosenberry","given":"Donald O."}],"issued":{"date-parts":[["2002",5]]}},"suppress-author":true}],"schema":"https://github.com/citation-style-language/schema/raw/master/csl-citation.json"} </w:instrText>
      </w:r>
      <w:r w:rsidRPr="009A1F3C">
        <w:rPr>
          <w:szCs w:val="24"/>
        </w:rPr>
        <w:fldChar w:fldCharType="separate"/>
      </w:r>
      <w:r w:rsidRPr="009A1F3C">
        <w:rPr>
          <w:szCs w:val="24"/>
        </w:rPr>
        <w:t>[2002]</w:t>
      </w:r>
      <w:r w:rsidRPr="009A1F3C">
        <w:rPr>
          <w:szCs w:val="24"/>
        </w:rPr>
        <w:fldChar w:fldCharType="end"/>
      </w:r>
      <w:r w:rsidRPr="009A1F3C">
        <w:rPr>
          <w:szCs w:val="24"/>
        </w:rPr>
        <w:t xml:space="preserve"> found that the water level recession in wetlands are highly dependent on the perimeter-area ratio which accounts for the higher surface areas allowing for evapotranspiration or groundwater exchange. Thus, it should follow that nitrogen and phosphorus removal dynamics in lentic systems, which are greatly dependent on the hydrological processes and pathways, should also be dependent to analogous metrics such as the wetted area-volume ratio.</w:t>
      </w:r>
    </w:p>
    <w:p w14:paraId="38265C4A" w14:textId="77777777" w:rsidR="009A1F3C" w:rsidRPr="009A1F3C" w:rsidRDefault="009A1F3C" w:rsidP="009A1F3C">
      <w:pPr>
        <w:pStyle w:val="ListParagraph"/>
        <w:ind w:left="0"/>
        <w:jc w:val="both"/>
        <w:rPr>
          <w:szCs w:val="24"/>
        </w:rPr>
      </w:pPr>
    </w:p>
    <w:p w14:paraId="32AF5E39" w14:textId="78D47326" w:rsidR="009A1F3C" w:rsidRPr="009A1F3C" w:rsidRDefault="009A1F3C" w:rsidP="009A1F3C">
      <w:pPr>
        <w:pStyle w:val="ListParagraph"/>
        <w:ind w:left="0"/>
        <w:jc w:val="both"/>
        <w:rPr>
          <w:szCs w:val="24"/>
        </w:rPr>
      </w:pPr>
      <w:r w:rsidRPr="009A1F3C">
        <w:rPr>
          <w:szCs w:val="24"/>
        </w:rPr>
        <w:t>The wetted contact area-volume ratio, regardless of the shape of the system, is higher for smaller systems (</w:t>
      </w:r>
      <w:r w:rsidRPr="009A1F3C">
        <w:rPr>
          <w:b/>
          <w:szCs w:val="24"/>
        </w:rPr>
        <w:t>Figure S3</w:t>
      </w:r>
      <w:r w:rsidRPr="009A1F3C">
        <w:rPr>
          <w:szCs w:val="24"/>
        </w:rPr>
        <w:t xml:space="preserve">). This relationship supports the hypothesis that a controlling factor to the overall reactivity of the system is dependent on size due to the contact area-volume ratio. The effect is most apparent for small water bodies: accounting for system bathymetry will be more important when modelling the biogeochemical processes for small systems. However, this relationship tends to converge at larger scales where the wetted area approaches unity with volume due to the relatively small magnitude of depth. </w:t>
      </w:r>
    </w:p>
    <w:p w14:paraId="0CBE744C" w14:textId="77777777" w:rsidR="009A1F3C" w:rsidRPr="009A1F3C" w:rsidRDefault="009A1F3C" w:rsidP="009A1F3C">
      <w:pPr>
        <w:pStyle w:val="ListParagraph"/>
        <w:ind w:left="0"/>
        <w:jc w:val="both"/>
        <w:rPr>
          <w:szCs w:val="24"/>
        </w:rPr>
      </w:pPr>
    </w:p>
    <w:p w14:paraId="018034F2" w14:textId="77777777" w:rsidR="009A1F3C" w:rsidRPr="009A1F3C" w:rsidRDefault="009A1F3C" w:rsidP="00A0057D">
      <w:pPr>
        <w:pStyle w:val="ListParagraph"/>
        <w:ind w:left="0"/>
        <w:jc w:val="center"/>
        <w:rPr>
          <w:b/>
          <w:szCs w:val="24"/>
          <w:highlight w:val="yellow"/>
        </w:rPr>
      </w:pPr>
      <w:r w:rsidRPr="009A1F3C">
        <w:rPr>
          <w:b/>
          <w:noProof/>
          <w:szCs w:val="24"/>
          <w:lang w:eastAsia="zh-TW"/>
        </w:rPr>
        <w:drawing>
          <wp:inline distT="0" distB="0" distL="0" distR="0" wp14:anchorId="524202E8" wp14:editId="0EC32602">
            <wp:extent cx="3486150" cy="19934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8729" cy="2006357"/>
                    </a:xfrm>
                    <a:prstGeom prst="rect">
                      <a:avLst/>
                    </a:prstGeom>
                    <a:noFill/>
                  </pic:spPr>
                </pic:pic>
              </a:graphicData>
            </a:graphic>
          </wp:inline>
        </w:drawing>
      </w:r>
    </w:p>
    <w:p w14:paraId="2E7BD745" w14:textId="321FF2A1" w:rsidR="009A1F3C" w:rsidRPr="009A1F3C" w:rsidRDefault="009A1F3C" w:rsidP="00A0057D">
      <w:pPr>
        <w:pStyle w:val="FigTitles"/>
        <w:rPr>
          <w:szCs w:val="24"/>
        </w:rPr>
      </w:pPr>
      <w:bookmarkStart w:id="3" w:name="_Toc478366693"/>
      <w:r w:rsidRPr="009A1F3C">
        <w:rPr>
          <w:b/>
          <w:szCs w:val="24"/>
        </w:rPr>
        <w:t xml:space="preserve">Figure S3. </w:t>
      </w:r>
      <w:r w:rsidRPr="009A1F3C">
        <w:rPr>
          <w:szCs w:val="24"/>
        </w:rPr>
        <w:t>Decreasing wetted area-volume ratio as a function surface area</w:t>
      </w:r>
      <w:bookmarkEnd w:id="3"/>
    </w:p>
    <w:p w14:paraId="5FFE441D" w14:textId="77777777" w:rsidR="009A1F3C" w:rsidRPr="009A1F3C" w:rsidRDefault="009A1F3C" w:rsidP="009A1F3C">
      <w:pPr>
        <w:pStyle w:val="ListParagraph"/>
        <w:ind w:left="0"/>
        <w:jc w:val="both"/>
        <w:rPr>
          <w:szCs w:val="24"/>
        </w:rPr>
      </w:pPr>
    </w:p>
    <w:p w14:paraId="3887EDE8" w14:textId="77777777" w:rsidR="009A1F3C" w:rsidRPr="009A1F3C" w:rsidRDefault="009A1F3C" w:rsidP="009A1F3C">
      <w:pPr>
        <w:pStyle w:val="ListParagraph"/>
        <w:ind w:left="0"/>
        <w:jc w:val="both"/>
        <w:rPr>
          <w:szCs w:val="24"/>
        </w:rPr>
      </w:pPr>
      <w:r w:rsidRPr="009A1F3C">
        <w:rPr>
          <w:szCs w:val="24"/>
        </w:rPr>
        <w:t>The shape of the water body is another factor that can affect the wetted area-volume ratio. Systems that are more conical in shape tend to have a higher ratio when compared to cylindrical systems. However, the conical and cylindrical are end members of likely scenarios with most systems having concave bathymetries but the negative relationship between the wetted area-volume ratio and surface area still holds true.</w:t>
      </w:r>
    </w:p>
    <w:p w14:paraId="01B6706F" w14:textId="77777777" w:rsidR="009A1F3C" w:rsidRPr="009A1F3C" w:rsidRDefault="009A1F3C" w:rsidP="009A1F3C">
      <w:pPr>
        <w:pStyle w:val="ListParagraph"/>
        <w:ind w:left="0"/>
        <w:jc w:val="both"/>
        <w:rPr>
          <w:szCs w:val="24"/>
        </w:rPr>
      </w:pPr>
    </w:p>
    <w:p w14:paraId="4F03F504" w14:textId="77777777" w:rsidR="009A1F3C" w:rsidRPr="009A1F3C" w:rsidRDefault="009A1F3C" w:rsidP="009A1F3C">
      <w:pPr>
        <w:pStyle w:val="ListParagraph"/>
        <w:ind w:left="0"/>
        <w:jc w:val="both"/>
        <w:rPr>
          <w:szCs w:val="24"/>
        </w:rPr>
      </w:pPr>
    </w:p>
    <w:p w14:paraId="65DB781D" w14:textId="77777777" w:rsidR="009A1F3C" w:rsidRDefault="009A1F3C" w:rsidP="009A1F3C">
      <w:pPr>
        <w:pStyle w:val="ListParagraph"/>
        <w:ind w:left="0"/>
        <w:jc w:val="both"/>
        <w:rPr>
          <w:szCs w:val="24"/>
        </w:rPr>
      </w:pPr>
    </w:p>
    <w:p w14:paraId="562F4AF5" w14:textId="77777777" w:rsidR="00A0057D" w:rsidRPr="009A1F3C" w:rsidRDefault="00A0057D" w:rsidP="009A1F3C">
      <w:pPr>
        <w:pStyle w:val="ListParagraph"/>
        <w:ind w:left="0"/>
        <w:jc w:val="both"/>
        <w:rPr>
          <w:szCs w:val="24"/>
        </w:rPr>
      </w:pPr>
    </w:p>
    <w:p w14:paraId="2F9BE354" w14:textId="77777777" w:rsidR="009A1F3C" w:rsidRPr="009A1F3C" w:rsidRDefault="009A1F3C" w:rsidP="009A1F3C">
      <w:pPr>
        <w:pStyle w:val="ListParagraph"/>
        <w:ind w:left="0"/>
        <w:jc w:val="both"/>
        <w:rPr>
          <w:szCs w:val="24"/>
        </w:rPr>
      </w:pPr>
    </w:p>
    <w:p w14:paraId="0A6CCB7C" w14:textId="77777777" w:rsidR="009A1F3C" w:rsidRPr="009A1F3C" w:rsidRDefault="009A1F3C" w:rsidP="009A1F3C">
      <w:pPr>
        <w:pStyle w:val="ListParagraph"/>
        <w:ind w:left="0"/>
        <w:jc w:val="both"/>
        <w:rPr>
          <w:szCs w:val="24"/>
        </w:rPr>
      </w:pPr>
    </w:p>
    <w:p w14:paraId="0AC70FD8" w14:textId="5574BFF6" w:rsidR="009A1F3C" w:rsidRPr="00A0057D" w:rsidRDefault="00602753" w:rsidP="009A1F3C">
      <w:pPr>
        <w:pStyle w:val="ListParagraph"/>
        <w:ind w:left="0"/>
        <w:jc w:val="both"/>
        <w:rPr>
          <w:b/>
          <w:szCs w:val="24"/>
        </w:rPr>
      </w:pPr>
      <w:r w:rsidRPr="00A0057D">
        <w:rPr>
          <w:b/>
          <w:szCs w:val="24"/>
        </w:rPr>
        <w:lastRenderedPageBreak/>
        <w:t>References Used in Supplemental Information</w:t>
      </w:r>
    </w:p>
    <w:p w14:paraId="11B78300" w14:textId="77777777" w:rsidR="009A1F3C" w:rsidRPr="009A1F3C" w:rsidRDefault="009A1F3C" w:rsidP="009A1F3C">
      <w:pPr>
        <w:pStyle w:val="ListParagraph"/>
        <w:ind w:left="0"/>
        <w:jc w:val="both"/>
        <w:rPr>
          <w:szCs w:val="24"/>
        </w:rPr>
      </w:pPr>
    </w:p>
    <w:p w14:paraId="5F905974" w14:textId="77777777" w:rsidR="009A1F3C" w:rsidRPr="009A1F3C" w:rsidRDefault="009A1F3C" w:rsidP="009A1F3C">
      <w:pPr>
        <w:pStyle w:val="Bibliography"/>
        <w:rPr>
          <w:szCs w:val="24"/>
        </w:rPr>
      </w:pPr>
      <w:r w:rsidRPr="009A1F3C">
        <w:rPr>
          <w:szCs w:val="24"/>
        </w:rPr>
        <w:fldChar w:fldCharType="begin"/>
      </w:r>
      <w:r w:rsidRPr="009A1F3C">
        <w:rPr>
          <w:szCs w:val="24"/>
        </w:rPr>
        <w:instrText xml:space="preserve"> ADDIN ZOTERO_BIBL {"custom":[]} CSL_BIBLIOGRAPHY </w:instrText>
      </w:r>
      <w:r w:rsidRPr="009A1F3C">
        <w:rPr>
          <w:szCs w:val="24"/>
        </w:rPr>
        <w:fldChar w:fldCharType="separate"/>
      </w:r>
      <w:r w:rsidRPr="009A1F3C">
        <w:rPr>
          <w:szCs w:val="24"/>
        </w:rPr>
        <w:t xml:space="preserve">Fairbairn, S. E., and J. J. Dinsmore (2001), Local and landscape-level influences on wetland bird communities of the prairie pothole region of Iowa, USA, </w:t>
      </w:r>
      <w:r w:rsidRPr="009A1F3C">
        <w:rPr>
          <w:i/>
          <w:iCs/>
          <w:szCs w:val="24"/>
        </w:rPr>
        <w:t>Wetlands</w:t>
      </w:r>
      <w:r w:rsidRPr="009A1F3C">
        <w:rPr>
          <w:szCs w:val="24"/>
        </w:rPr>
        <w:t xml:space="preserve">, </w:t>
      </w:r>
      <w:r w:rsidRPr="009A1F3C">
        <w:rPr>
          <w:i/>
          <w:iCs/>
          <w:szCs w:val="24"/>
        </w:rPr>
        <w:t>21</w:t>
      </w:r>
      <w:r w:rsidRPr="009A1F3C">
        <w:rPr>
          <w:szCs w:val="24"/>
        </w:rPr>
        <w:t>(1), 41–47, doi:10.1672/0277-5212(2001)021[0041:LALLIO]2.0.CO;2.</w:t>
      </w:r>
    </w:p>
    <w:p w14:paraId="3FC4B09A" w14:textId="77777777" w:rsidR="009A1F3C" w:rsidRPr="009A1F3C" w:rsidRDefault="009A1F3C" w:rsidP="009A1F3C">
      <w:pPr>
        <w:pStyle w:val="Bibliography"/>
        <w:rPr>
          <w:szCs w:val="24"/>
        </w:rPr>
      </w:pPr>
      <w:r w:rsidRPr="009A1F3C">
        <w:rPr>
          <w:szCs w:val="24"/>
        </w:rPr>
        <w:t xml:space="preserve">Hayashi, M., and G. van der Kamp (2000), Simple equations to represent the volume–area–depth relations of shallow wetlands in small topographic depressions, </w:t>
      </w:r>
      <w:r w:rsidRPr="009A1F3C">
        <w:rPr>
          <w:i/>
          <w:iCs/>
          <w:szCs w:val="24"/>
        </w:rPr>
        <w:t>J. Hydrol.</w:t>
      </w:r>
      <w:r w:rsidRPr="009A1F3C">
        <w:rPr>
          <w:szCs w:val="24"/>
        </w:rPr>
        <w:t xml:space="preserve">, </w:t>
      </w:r>
      <w:r w:rsidRPr="009A1F3C">
        <w:rPr>
          <w:i/>
          <w:iCs/>
          <w:szCs w:val="24"/>
        </w:rPr>
        <w:t>237</w:t>
      </w:r>
      <w:r w:rsidRPr="009A1F3C">
        <w:rPr>
          <w:szCs w:val="24"/>
        </w:rPr>
        <w:t>(1–2), 74–85, doi:10.1016/S0022-1694(00)00300-0.</w:t>
      </w:r>
    </w:p>
    <w:p w14:paraId="77B7C847" w14:textId="77777777" w:rsidR="009A1F3C" w:rsidRPr="009A1F3C" w:rsidRDefault="009A1F3C" w:rsidP="009A1F3C">
      <w:pPr>
        <w:pStyle w:val="Bibliography"/>
        <w:rPr>
          <w:szCs w:val="24"/>
        </w:rPr>
      </w:pPr>
      <w:r w:rsidRPr="009A1F3C">
        <w:rPr>
          <w:szCs w:val="24"/>
        </w:rPr>
        <w:t xml:space="preserve">Hayashi, M., and D. O. Rosenberry (2002), Effects of ground water exchange on the hydrology and ecology of surface water, </w:t>
      </w:r>
      <w:r w:rsidRPr="009A1F3C">
        <w:rPr>
          <w:i/>
          <w:iCs/>
          <w:szCs w:val="24"/>
        </w:rPr>
        <w:t>Ground Water</w:t>
      </w:r>
      <w:r w:rsidRPr="009A1F3C">
        <w:rPr>
          <w:szCs w:val="24"/>
        </w:rPr>
        <w:t xml:space="preserve">, </w:t>
      </w:r>
      <w:r w:rsidRPr="009A1F3C">
        <w:rPr>
          <w:i/>
          <w:iCs/>
          <w:szCs w:val="24"/>
        </w:rPr>
        <w:t>40</w:t>
      </w:r>
      <w:r w:rsidRPr="009A1F3C">
        <w:rPr>
          <w:szCs w:val="24"/>
        </w:rPr>
        <w:t>(3), 309–316, doi:10.1111/j.1745-6584.2002.tb02659.x.</w:t>
      </w:r>
    </w:p>
    <w:p w14:paraId="608B3ECE" w14:textId="77777777" w:rsidR="009A1F3C" w:rsidRPr="009A1F3C" w:rsidRDefault="009A1F3C" w:rsidP="009A1F3C">
      <w:pPr>
        <w:pStyle w:val="Bibliography"/>
        <w:rPr>
          <w:szCs w:val="24"/>
        </w:rPr>
      </w:pPr>
      <w:r w:rsidRPr="009A1F3C">
        <w:rPr>
          <w:szCs w:val="24"/>
        </w:rPr>
        <w:t xml:space="preserve">Helzer, C. J., and D. E. Jelinski (1999), The relative importance of patch area and perimeter-area ratio to grassland breeding birds, </w:t>
      </w:r>
      <w:r w:rsidRPr="009A1F3C">
        <w:rPr>
          <w:i/>
          <w:iCs/>
          <w:szCs w:val="24"/>
        </w:rPr>
        <w:t>Ecol. Appl.</w:t>
      </w:r>
      <w:r w:rsidRPr="009A1F3C">
        <w:rPr>
          <w:szCs w:val="24"/>
        </w:rPr>
        <w:t xml:space="preserve">, </w:t>
      </w:r>
      <w:r w:rsidRPr="009A1F3C">
        <w:rPr>
          <w:i/>
          <w:iCs/>
          <w:szCs w:val="24"/>
        </w:rPr>
        <w:t>9</w:t>
      </w:r>
      <w:r w:rsidRPr="009A1F3C">
        <w:rPr>
          <w:szCs w:val="24"/>
        </w:rPr>
        <w:t>(4), 1448–1458, doi:10.1890/1051-0761(1999)009[1448:TRIOPA]2.0.CO;2.</w:t>
      </w:r>
    </w:p>
    <w:p w14:paraId="58F55E25" w14:textId="77777777" w:rsidR="009A1F3C" w:rsidRPr="009A1F3C" w:rsidRDefault="009A1F3C" w:rsidP="009A1F3C">
      <w:pPr>
        <w:pStyle w:val="Bibliography"/>
        <w:rPr>
          <w:szCs w:val="24"/>
        </w:rPr>
      </w:pPr>
      <w:r w:rsidRPr="009A1F3C">
        <w:rPr>
          <w:szCs w:val="24"/>
        </w:rPr>
        <w:t xml:space="preserve">Millar, J. B. (1971), Shoreline-area ratio as a factor in rate of water loss from small sloughs, </w:t>
      </w:r>
      <w:r w:rsidRPr="009A1F3C">
        <w:rPr>
          <w:i/>
          <w:iCs/>
          <w:szCs w:val="24"/>
        </w:rPr>
        <w:t>J. Hydrol.</w:t>
      </w:r>
      <w:r w:rsidRPr="009A1F3C">
        <w:rPr>
          <w:szCs w:val="24"/>
        </w:rPr>
        <w:t xml:space="preserve">, </w:t>
      </w:r>
      <w:r w:rsidRPr="009A1F3C">
        <w:rPr>
          <w:i/>
          <w:iCs/>
          <w:szCs w:val="24"/>
        </w:rPr>
        <w:t>14</w:t>
      </w:r>
      <w:r w:rsidRPr="009A1F3C">
        <w:rPr>
          <w:szCs w:val="24"/>
        </w:rPr>
        <w:t>(3–4), 259–284, doi:10.1016/0022-1694(71)90038-2.</w:t>
      </w:r>
    </w:p>
    <w:p w14:paraId="48294CF3" w14:textId="64FE2B0A" w:rsidR="009A1F3C" w:rsidRPr="009A1F3C" w:rsidRDefault="009A1F3C" w:rsidP="009A1F3C">
      <w:pPr>
        <w:pStyle w:val="ListParagraph"/>
        <w:ind w:left="0"/>
        <w:jc w:val="both"/>
        <w:rPr>
          <w:szCs w:val="24"/>
        </w:rPr>
      </w:pPr>
      <w:r w:rsidRPr="009A1F3C">
        <w:rPr>
          <w:szCs w:val="24"/>
        </w:rPr>
        <w:fldChar w:fldCharType="end"/>
      </w:r>
    </w:p>
    <w:p w14:paraId="520B8197" w14:textId="77777777" w:rsidR="005314B5" w:rsidRPr="009A1F3C" w:rsidRDefault="005314B5" w:rsidP="009A1F3C">
      <w:pPr>
        <w:pStyle w:val="SMcaption"/>
        <w:jc w:val="both"/>
        <w:rPr>
          <w:sz w:val="22"/>
          <w:szCs w:val="22"/>
        </w:rPr>
      </w:pPr>
    </w:p>
    <w:p w14:paraId="2E780977" w14:textId="77777777" w:rsidR="0035344E" w:rsidRPr="009A1F3C" w:rsidRDefault="0035344E" w:rsidP="00477182">
      <w:pPr>
        <w:pStyle w:val="SMcaption"/>
        <w:rPr>
          <w:sz w:val="22"/>
          <w:szCs w:val="22"/>
        </w:rPr>
      </w:pPr>
    </w:p>
    <w:p w14:paraId="4E0FEF93" w14:textId="77777777" w:rsidR="0035344E" w:rsidRPr="009A1F3C" w:rsidRDefault="0035344E" w:rsidP="00477182">
      <w:pPr>
        <w:pStyle w:val="SMcaption"/>
        <w:rPr>
          <w:sz w:val="22"/>
          <w:szCs w:val="22"/>
        </w:rPr>
      </w:pPr>
    </w:p>
    <w:p w14:paraId="5466AFF8" w14:textId="77777777" w:rsidR="0035344E" w:rsidRPr="009A1F3C" w:rsidRDefault="0035344E" w:rsidP="00477182">
      <w:pPr>
        <w:pStyle w:val="SMcaption"/>
        <w:rPr>
          <w:sz w:val="22"/>
          <w:szCs w:val="22"/>
        </w:rPr>
      </w:pPr>
    </w:p>
    <w:p w14:paraId="5FC3DB6C" w14:textId="77777777" w:rsidR="0035344E" w:rsidRPr="009A1F3C" w:rsidRDefault="0035344E" w:rsidP="00477182">
      <w:pPr>
        <w:pStyle w:val="SMcaption"/>
        <w:rPr>
          <w:sz w:val="22"/>
          <w:szCs w:val="22"/>
        </w:rPr>
      </w:pPr>
    </w:p>
    <w:p w14:paraId="77C5B37E" w14:textId="77777777" w:rsidR="0035344E" w:rsidRPr="009A1F3C" w:rsidRDefault="0035344E" w:rsidP="00477182">
      <w:pPr>
        <w:pStyle w:val="SMcaption"/>
        <w:rPr>
          <w:sz w:val="22"/>
          <w:szCs w:val="22"/>
        </w:rPr>
      </w:pPr>
    </w:p>
    <w:p w14:paraId="7E9BB641" w14:textId="77777777" w:rsidR="0035344E" w:rsidRPr="009A1F3C" w:rsidRDefault="0035344E" w:rsidP="00477182">
      <w:pPr>
        <w:pStyle w:val="SMcaption"/>
        <w:rPr>
          <w:sz w:val="22"/>
          <w:szCs w:val="22"/>
        </w:rPr>
      </w:pPr>
    </w:p>
    <w:sectPr w:rsidR="0035344E" w:rsidRPr="009A1F3C" w:rsidSect="00F125EE">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8A265" w14:textId="77777777" w:rsidR="00C82FC1" w:rsidRDefault="00C82FC1">
      <w:r>
        <w:separator/>
      </w:r>
    </w:p>
  </w:endnote>
  <w:endnote w:type="continuationSeparator" w:id="0">
    <w:p w14:paraId="2685BE54" w14:textId="77777777" w:rsidR="00C82FC1" w:rsidRDefault="00C8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6102A" w14:textId="77777777" w:rsidR="001966FD" w:rsidRDefault="001966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8E7ED" w14:textId="77777777" w:rsidR="00F125EE" w:rsidRDefault="00114193">
    <w:pPr>
      <w:pStyle w:val="Footer"/>
      <w:jc w:val="right"/>
    </w:pPr>
    <w:r>
      <w:fldChar w:fldCharType="begin"/>
    </w:r>
    <w:r>
      <w:instrText xml:space="preserve"> PAGE   \* MERGEFORMAT </w:instrText>
    </w:r>
    <w:r>
      <w:fldChar w:fldCharType="separate"/>
    </w:r>
    <w:r w:rsidR="00060B69">
      <w:rPr>
        <w:noProof/>
      </w:rPr>
      <w:t>1</w:t>
    </w:r>
    <w:r>
      <w:fldChar w:fldCharType="end"/>
    </w:r>
  </w:p>
  <w:p w14:paraId="486656F3" w14:textId="77777777" w:rsidR="00F125EE" w:rsidRDefault="00F125E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BBCA3" w14:textId="77777777" w:rsidR="001966FD" w:rsidRDefault="001966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C7A67" w14:textId="77777777" w:rsidR="00C82FC1" w:rsidRDefault="00C82FC1">
      <w:r>
        <w:separator/>
      </w:r>
    </w:p>
  </w:footnote>
  <w:footnote w:type="continuationSeparator" w:id="0">
    <w:p w14:paraId="19708E6C" w14:textId="77777777" w:rsidR="00C82FC1" w:rsidRDefault="00C82F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9EF6B" w14:textId="77777777" w:rsidR="001966FD" w:rsidRDefault="001966F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23C1C" w14:textId="77777777" w:rsidR="003A2FD8" w:rsidRPr="005001AC" w:rsidRDefault="003A2FD8" w:rsidP="005001AC">
    <w:pPr>
      <w:jc w:val="right"/>
      <w:rPr>
        <w:sz w:val="20"/>
      </w:rPr>
    </w:pPr>
  </w:p>
  <w:p w14:paraId="18F8F636" w14:textId="77777777" w:rsidR="003A2FD8" w:rsidRDefault="003A2FD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C5ADD" w14:textId="77777777" w:rsidR="001966FD" w:rsidRDefault="001966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30F"/>
    <w:rsid w:val="00015F74"/>
    <w:rsid w:val="00043571"/>
    <w:rsid w:val="00060B69"/>
    <w:rsid w:val="00065EBD"/>
    <w:rsid w:val="00083B44"/>
    <w:rsid w:val="000850DC"/>
    <w:rsid w:val="00094365"/>
    <w:rsid w:val="000B2E64"/>
    <w:rsid w:val="000C2771"/>
    <w:rsid w:val="000D68BD"/>
    <w:rsid w:val="000F0DCE"/>
    <w:rsid w:val="00111843"/>
    <w:rsid w:val="00112C5B"/>
    <w:rsid w:val="00113908"/>
    <w:rsid w:val="00114193"/>
    <w:rsid w:val="001154E6"/>
    <w:rsid w:val="00115A38"/>
    <w:rsid w:val="0011687B"/>
    <w:rsid w:val="00124F82"/>
    <w:rsid w:val="001278E3"/>
    <w:rsid w:val="00130743"/>
    <w:rsid w:val="00130B50"/>
    <w:rsid w:val="0016337A"/>
    <w:rsid w:val="00164269"/>
    <w:rsid w:val="00165A33"/>
    <w:rsid w:val="001966FD"/>
    <w:rsid w:val="00197826"/>
    <w:rsid w:val="001A1BDE"/>
    <w:rsid w:val="001C7B4E"/>
    <w:rsid w:val="001F0876"/>
    <w:rsid w:val="001F167C"/>
    <w:rsid w:val="001F5E91"/>
    <w:rsid w:val="0020183F"/>
    <w:rsid w:val="002077B9"/>
    <w:rsid w:val="00221C70"/>
    <w:rsid w:val="002251AF"/>
    <w:rsid w:val="00227D86"/>
    <w:rsid w:val="00243B68"/>
    <w:rsid w:val="00262D72"/>
    <w:rsid w:val="002800B6"/>
    <w:rsid w:val="002B35D4"/>
    <w:rsid w:val="002C030F"/>
    <w:rsid w:val="002F3966"/>
    <w:rsid w:val="00320E2C"/>
    <w:rsid w:val="00331D75"/>
    <w:rsid w:val="0035344E"/>
    <w:rsid w:val="00355362"/>
    <w:rsid w:val="00363E44"/>
    <w:rsid w:val="00395E86"/>
    <w:rsid w:val="003A2FD8"/>
    <w:rsid w:val="003B40E6"/>
    <w:rsid w:val="003C007A"/>
    <w:rsid w:val="003E1980"/>
    <w:rsid w:val="003F6E14"/>
    <w:rsid w:val="00405336"/>
    <w:rsid w:val="004568BC"/>
    <w:rsid w:val="004571D5"/>
    <w:rsid w:val="00462F1B"/>
    <w:rsid w:val="0046356B"/>
    <w:rsid w:val="00477182"/>
    <w:rsid w:val="004779CB"/>
    <w:rsid w:val="00481118"/>
    <w:rsid w:val="004B2481"/>
    <w:rsid w:val="004D2A8C"/>
    <w:rsid w:val="004E42D8"/>
    <w:rsid w:val="004E7BA2"/>
    <w:rsid w:val="004F7EDF"/>
    <w:rsid w:val="005001AC"/>
    <w:rsid w:val="00517016"/>
    <w:rsid w:val="00527D71"/>
    <w:rsid w:val="00527D84"/>
    <w:rsid w:val="005314B5"/>
    <w:rsid w:val="0054432F"/>
    <w:rsid w:val="00552C23"/>
    <w:rsid w:val="005607DD"/>
    <w:rsid w:val="00572DFF"/>
    <w:rsid w:val="005A558C"/>
    <w:rsid w:val="005B186E"/>
    <w:rsid w:val="005C6651"/>
    <w:rsid w:val="005D6D71"/>
    <w:rsid w:val="005E28F8"/>
    <w:rsid w:val="005E6513"/>
    <w:rsid w:val="00602753"/>
    <w:rsid w:val="00611F9E"/>
    <w:rsid w:val="006237D4"/>
    <w:rsid w:val="00651114"/>
    <w:rsid w:val="006622CF"/>
    <w:rsid w:val="00664A12"/>
    <w:rsid w:val="0066512E"/>
    <w:rsid w:val="0066722B"/>
    <w:rsid w:val="00670299"/>
    <w:rsid w:val="0068469F"/>
    <w:rsid w:val="00691985"/>
    <w:rsid w:val="006962C1"/>
    <w:rsid w:val="006A1B64"/>
    <w:rsid w:val="006B03AD"/>
    <w:rsid w:val="006F602A"/>
    <w:rsid w:val="007108F5"/>
    <w:rsid w:val="00713AF2"/>
    <w:rsid w:val="00713E5B"/>
    <w:rsid w:val="007402FC"/>
    <w:rsid w:val="007411A1"/>
    <w:rsid w:val="007563F2"/>
    <w:rsid w:val="00764008"/>
    <w:rsid w:val="00807D35"/>
    <w:rsid w:val="008115D9"/>
    <w:rsid w:val="00825950"/>
    <w:rsid w:val="00885C9B"/>
    <w:rsid w:val="008927D0"/>
    <w:rsid w:val="008A2707"/>
    <w:rsid w:val="008D5D2A"/>
    <w:rsid w:val="008E2CF1"/>
    <w:rsid w:val="008F08DC"/>
    <w:rsid w:val="008F5A8A"/>
    <w:rsid w:val="009055D1"/>
    <w:rsid w:val="00905AB6"/>
    <w:rsid w:val="00912BC9"/>
    <w:rsid w:val="00914B63"/>
    <w:rsid w:val="00922705"/>
    <w:rsid w:val="00924546"/>
    <w:rsid w:val="00932FE5"/>
    <w:rsid w:val="009354F3"/>
    <w:rsid w:val="009447DC"/>
    <w:rsid w:val="00961BA5"/>
    <w:rsid w:val="009743A9"/>
    <w:rsid w:val="00975720"/>
    <w:rsid w:val="009859A7"/>
    <w:rsid w:val="009A1F3C"/>
    <w:rsid w:val="009A5287"/>
    <w:rsid w:val="009B2AC5"/>
    <w:rsid w:val="009B7984"/>
    <w:rsid w:val="009F4BED"/>
    <w:rsid w:val="009F7D93"/>
    <w:rsid w:val="00A0057D"/>
    <w:rsid w:val="00A276DF"/>
    <w:rsid w:val="00A3084A"/>
    <w:rsid w:val="00A3403B"/>
    <w:rsid w:val="00A50033"/>
    <w:rsid w:val="00A51A12"/>
    <w:rsid w:val="00A627D4"/>
    <w:rsid w:val="00A74DA2"/>
    <w:rsid w:val="00A92733"/>
    <w:rsid w:val="00AA76F3"/>
    <w:rsid w:val="00AC7DA6"/>
    <w:rsid w:val="00AD499C"/>
    <w:rsid w:val="00B30334"/>
    <w:rsid w:val="00B3147F"/>
    <w:rsid w:val="00B36869"/>
    <w:rsid w:val="00B43B31"/>
    <w:rsid w:val="00B47CFA"/>
    <w:rsid w:val="00B57F00"/>
    <w:rsid w:val="00B626CB"/>
    <w:rsid w:val="00B7560C"/>
    <w:rsid w:val="00B7790D"/>
    <w:rsid w:val="00B77E40"/>
    <w:rsid w:val="00B82C22"/>
    <w:rsid w:val="00B93DBA"/>
    <w:rsid w:val="00B9440A"/>
    <w:rsid w:val="00B952C1"/>
    <w:rsid w:val="00B968D7"/>
    <w:rsid w:val="00B9752B"/>
    <w:rsid w:val="00BA3953"/>
    <w:rsid w:val="00BB2D2A"/>
    <w:rsid w:val="00BD58CF"/>
    <w:rsid w:val="00BF1BEB"/>
    <w:rsid w:val="00BF1BF9"/>
    <w:rsid w:val="00C04CC1"/>
    <w:rsid w:val="00C071FC"/>
    <w:rsid w:val="00C22C02"/>
    <w:rsid w:val="00C27F6F"/>
    <w:rsid w:val="00C30E83"/>
    <w:rsid w:val="00C50C6D"/>
    <w:rsid w:val="00C600D9"/>
    <w:rsid w:val="00C634D7"/>
    <w:rsid w:val="00C73E09"/>
    <w:rsid w:val="00C82FC1"/>
    <w:rsid w:val="00CC1384"/>
    <w:rsid w:val="00CD3720"/>
    <w:rsid w:val="00CE6EAA"/>
    <w:rsid w:val="00CF1848"/>
    <w:rsid w:val="00CF5C2F"/>
    <w:rsid w:val="00D04BCF"/>
    <w:rsid w:val="00D10134"/>
    <w:rsid w:val="00D143D9"/>
    <w:rsid w:val="00D4372A"/>
    <w:rsid w:val="00D54C91"/>
    <w:rsid w:val="00D60BB0"/>
    <w:rsid w:val="00D65708"/>
    <w:rsid w:val="00D8159F"/>
    <w:rsid w:val="00D87B47"/>
    <w:rsid w:val="00DD1D04"/>
    <w:rsid w:val="00DD3D9B"/>
    <w:rsid w:val="00DD79D7"/>
    <w:rsid w:val="00E20431"/>
    <w:rsid w:val="00E257C8"/>
    <w:rsid w:val="00E40896"/>
    <w:rsid w:val="00E43D2D"/>
    <w:rsid w:val="00E449CB"/>
    <w:rsid w:val="00E551BD"/>
    <w:rsid w:val="00E63760"/>
    <w:rsid w:val="00E64049"/>
    <w:rsid w:val="00E9773B"/>
    <w:rsid w:val="00EC13A3"/>
    <w:rsid w:val="00EC7C85"/>
    <w:rsid w:val="00ED69CA"/>
    <w:rsid w:val="00EE35AB"/>
    <w:rsid w:val="00EF25A3"/>
    <w:rsid w:val="00F125EE"/>
    <w:rsid w:val="00F12E98"/>
    <w:rsid w:val="00F22029"/>
    <w:rsid w:val="00F23E46"/>
    <w:rsid w:val="00F3515C"/>
    <w:rsid w:val="00F47BA3"/>
    <w:rsid w:val="00F56E67"/>
    <w:rsid w:val="00F630EA"/>
    <w:rsid w:val="00F6474F"/>
    <w:rsid w:val="00F7007E"/>
    <w:rsid w:val="00F71322"/>
    <w:rsid w:val="00F73193"/>
    <w:rsid w:val="00F74F95"/>
    <w:rsid w:val="00F80705"/>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semiHidden="1"/>
    <w:lsdException w:name="annotation reference" w:semiHidden="1" w:uiPriority="99"/>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unhideWhenUsed="1"/>
    <w:lsdException w:name="HTML Variable"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spacing w:after="240"/>
      <w:ind w:left="720" w:hanging="720"/>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uiPriority w:val="99"/>
    <w:rsid w:val="00405336"/>
    <w:rPr>
      <w:sz w:val="20"/>
    </w:rPr>
  </w:style>
  <w:style w:type="character" w:customStyle="1" w:styleId="CommentTextChar">
    <w:name w:val="Comment Text Char"/>
    <w:basedOn w:val="DefaultParagraphFont"/>
    <w:link w:val="CommentText"/>
    <w:uiPriority w:val="99"/>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uiPriority w:val="99"/>
    <w:semiHidden/>
    <w:rsid w:val="002800B6"/>
    <w:rPr>
      <w:sz w:val="16"/>
      <w:szCs w:val="16"/>
    </w:rPr>
  </w:style>
  <w:style w:type="paragraph" w:customStyle="1" w:styleId="MyHeading2">
    <w:name w:val="My Heading 2"/>
    <w:basedOn w:val="Heading2"/>
    <w:qFormat/>
    <w:rsid w:val="009A1F3C"/>
    <w:pPr>
      <w:keepLines/>
      <w:spacing w:before="40" w:after="0"/>
      <w:jc w:val="both"/>
    </w:pPr>
    <w:rPr>
      <w:rFonts w:ascii="Times New Roman" w:eastAsiaTheme="majorEastAsia" w:hAnsi="Times New Roman" w:cstheme="majorBidi"/>
      <w:bCs w:val="0"/>
      <w:i w:val="0"/>
      <w:iCs w:val="0"/>
      <w:sz w:val="26"/>
      <w:szCs w:val="26"/>
    </w:rPr>
  </w:style>
  <w:style w:type="paragraph" w:customStyle="1" w:styleId="FigTitles">
    <w:name w:val="FigTitles"/>
    <w:basedOn w:val="Normal"/>
    <w:qFormat/>
    <w:rsid w:val="009A1F3C"/>
    <w:pPr>
      <w:jc w:val="center"/>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1585</Words>
  <Characters>9040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10604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Fred Cheng</cp:lastModifiedBy>
  <cp:revision>12</cp:revision>
  <cp:lastPrinted>2016-11-09T19:32:00Z</cp:lastPrinted>
  <dcterms:created xsi:type="dcterms:W3CDTF">2016-09-30T16:49:00Z</dcterms:created>
  <dcterms:modified xsi:type="dcterms:W3CDTF">2017-04-27T01:08:00Z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id="HUo1lM7M"/&gt;&lt;style id="http://www.zotero.org/styles/water-resources-research"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