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CB4E3" w14:textId="5F1064AA" w:rsidR="00A84A00" w:rsidRPr="00645403" w:rsidRDefault="00A84A00" w:rsidP="00A84A00">
      <w:pPr>
        <w:spacing w:after="740"/>
        <w:rPr>
          <w:rFonts w:ascii="Times New Roman" w:hAnsi="Times New Roman" w:cs="Times New Roman"/>
        </w:rPr>
      </w:pPr>
      <w:r w:rsidRPr="00645403">
        <w:rPr>
          <w:rFonts w:ascii="Times New Roman" w:hAnsi="Times New Roman" w:cs="Times New Roman"/>
          <w:noProof/>
        </w:rPr>
        <w:drawing>
          <wp:inline distT="0" distB="0" distL="0" distR="0" wp14:anchorId="5EF0B06A" wp14:editId="6F3F00D9">
            <wp:extent cx="5465445" cy="1849755"/>
            <wp:effectExtent l="0" t="0" r="0" b="0"/>
            <wp:docPr id="207580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65445" cy="1849755"/>
                    </a:xfrm>
                    <a:prstGeom prst="rect">
                      <a:avLst/>
                    </a:prstGeom>
                    <a:noFill/>
                    <a:ln>
                      <a:noFill/>
                    </a:ln>
                  </pic:spPr>
                </pic:pic>
              </a:graphicData>
            </a:graphic>
          </wp:inline>
        </w:drawing>
      </w:r>
    </w:p>
    <w:p w14:paraId="2967BB4A" w14:textId="7271632F" w:rsidR="00A84A00" w:rsidRPr="00645403" w:rsidRDefault="00A84A00" w:rsidP="00A84A00">
      <w:pPr>
        <w:spacing w:after="789" w:line="264" w:lineRule="auto"/>
        <w:ind w:left="259" w:hanging="10"/>
        <w:jc w:val="center"/>
        <w:rPr>
          <w:rFonts w:ascii="Times New Roman" w:hAnsi="Times New Roman" w:cs="Times New Roman"/>
          <w:sz w:val="32"/>
        </w:rPr>
      </w:pPr>
      <w:r w:rsidRPr="00645403">
        <w:rPr>
          <w:rFonts w:ascii="Times New Roman" w:hAnsi="Times New Roman" w:cs="Times New Roman"/>
          <w:sz w:val="32"/>
        </w:rPr>
        <w:t>RESEARCH REVIEW</w:t>
      </w:r>
    </w:p>
    <w:p w14:paraId="59D44777" w14:textId="21716E5A" w:rsidR="00A84A00" w:rsidRPr="00645403" w:rsidRDefault="00A84A00" w:rsidP="00A84A00">
      <w:pPr>
        <w:spacing w:after="789" w:line="264" w:lineRule="auto"/>
        <w:ind w:left="259" w:hanging="10"/>
        <w:jc w:val="center"/>
        <w:rPr>
          <w:rFonts w:ascii="Times New Roman" w:hAnsi="Times New Roman" w:cs="Times New Roman"/>
          <w:b/>
          <w:bCs/>
          <w:sz w:val="32"/>
        </w:rPr>
      </w:pPr>
      <w:r w:rsidRPr="00645403">
        <w:rPr>
          <w:rFonts w:ascii="Times New Roman" w:hAnsi="Times New Roman" w:cs="Times New Roman"/>
          <w:b/>
          <w:bCs/>
          <w:sz w:val="32"/>
        </w:rPr>
        <w:t>Topic: Market Return Decomposition and Participation Structures</w:t>
      </w:r>
    </w:p>
    <w:p w14:paraId="0B88D875" w14:textId="77777777" w:rsidR="00A84A00" w:rsidRPr="00645403" w:rsidRDefault="00A84A00" w:rsidP="00A84A00">
      <w:pPr>
        <w:spacing w:after="179" w:line="264" w:lineRule="auto"/>
        <w:ind w:left="259" w:hanging="10"/>
        <w:jc w:val="center"/>
        <w:rPr>
          <w:rFonts w:ascii="Times New Roman" w:hAnsi="Times New Roman" w:cs="Times New Roman"/>
        </w:rPr>
      </w:pPr>
      <w:r w:rsidRPr="00645403">
        <w:rPr>
          <w:rFonts w:ascii="Times New Roman" w:hAnsi="Times New Roman" w:cs="Times New Roman"/>
          <w:sz w:val="32"/>
        </w:rPr>
        <w:t>By</w:t>
      </w:r>
    </w:p>
    <w:p w14:paraId="1BE4BA6D" w14:textId="77777777" w:rsidR="00A84A00" w:rsidRPr="00645403" w:rsidRDefault="00A84A00" w:rsidP="00A84A00">
      <w:pPr>
        <w:spacing w:after="179" w:line="264" w:lineRule="auto"/>
        <w:ind w:left="259" w:right="72" w:hanging="10"/>
        <w:jc w:val="center"/>
        <w:rPr>
          <w:rFonts w:ascii="Times New Roman" w:hAnsi="Times New Roman" w:cs="Times New Roman"/>
        </w:rPr>
      </w:pPr>
      <w:r w:rsidRPr="00645403">
        <w:rPr>
          <w:rFonts w:ascii="Times New Roman" w:hAnsi="Times New Roman" w:cs="Times New Roman"/>
          <w:sz w:val="32"/>
        </w:rPr>
        <w:t>Simran Rajput</w:t>
      </w:r>
    </w:p>
    <w:p w14:paraId="30D0AABC" w14:textId="77777777" w:rsidR="00A84A00" w:rsidRPr="00645403" w:rsidRDefault="00A84A00" w:rsidP="00A84A00">
      <w:pPr>
        <w:spacing w:after="179" w:line="264" w:lineRule="auto"/>
        <w:ind w:left="259" w:hanging="10"/>
        <w:jc w:val="center"/>
        <w:rPr>
          <w:rFonts w:ascii="Times New Roman" w:hAnsi="Times New Roman" w:cs="Times New Roman"/>
        </w:rPr>
      </w:pPr>
      <w:r w:rsidRPr="00645403">
        <w:rPr>
          <w:rFonts w:ascii="Times New Roman" w:hAnsi="Times New Roman" w:cs="Times New Roman"/>
          <w:sz w:val="32"/>
        </w:rPr>
        <w:t>2548048</w:t>
      </w:r>
    </w:p>
    <w:p w14:paraId="5032BE8B" w14:textId="77777777" w:rsidR="00A84A00" w:rsidRPr="00645403" w:rsidRDefault="00A84A00" w:rsidP="00A84A00">
      <w:pPr>
        <w:spacing w:after="789" w:line="264" w:lineRule="auto"/>
        <w:ind w:left="259" w:hanging="10"/>
        <w:jc w:val="center"/>
        <w:rPr>
          <w:rFonts w:ascii="Times New Roman" w:hAnsi="Times New Roman" w:cs="Times New Roman"/>
        </w:rPr>
      </w:pPr>
      <w:r w:rsidRPr="00645403">
        <w:rPr>
          <w:rFonts w:ascii="Times New Roman" w:hAnsi="Times New Roman" w:cs="Times New Roman"/>
          <w:sz w:val="32"/>
        </w:rPr>
        <w:t>3MDS</w:t>
      </w:r>
    </w:p>
    <w:p w14:paraId="45C4C8F1" w14:textId="77777777" w:rsidR="00A84A00" w:rsidRPr="00645403" w:rsidRDefault="00A84A00" w:rsidP="00A84A00">
      <w:pPr>
        <w:spacing w:after="179" w:line="264" w:lineRule="auto"/>
        <w:ind w:left="259" w:hanging="10"/>
        <w:jc w:val="center"/>
        <w:rPr>
          <w:rFonts w:ascii="Times New Roman" w:hAnsi="Times New Roman" w:cs="Times New Roman"/>
        </w:rPr>
      </w:pPr>
      <w:r w:rsidRPr="00645403">
        <w:rPr>
          <w:rFonts w:ascii="Times New Roman" w:hAnsi="Times New Roman" w:cs="Times New Roman"/>
          <w:sz w:val="32"/>
        </w:rPr>
        <w:t>Under the Guidance of</w:t>
      </w:r>
    </w:p>
    <w:p w14:paraId="295D955A" w14:textId="58B39C5E" w:rsidR="00A84A00" w:rsidRPr="00645403" w:rsidRDefault="00A84A00" w:rsidP="00A84A00">
      <w:pPr>
        <w:spacing w:after="779" w:line="264" w:lineRule="auto"/>
        <w:ind w:left="259" w:right="3" w:hanging="10"/>
        <w:jc w:val="center"/>
        <w:rPr>
          <w:rFonts w:ascii="Times New Roman" w:hAnsi="Times New Roman" w:cs="Times New Roman"/>
        </w:rPr>
      </w:pPr>
      <w:r w:rsidRPr="00645403">
        <w:rPr>
          <w:rFonts w:ascii="Times New Roman" w:hAnsi="Times New Roman" w:cs="Times New Roman"/>
          <w:sz w:val="32"/>
        </w:rPr>
        <w:t>Dr. Heena Gupta</w:t>
      </w:r>
    </w:p>
    <w:p w14:paraId="06376255" w14:textId="77777777" w:rsidR="00A84A00" w:rsidRPr="00645403" w:rsidRDefault="00A84A00" w:rsidP="00A84A00">
      <w:pPr>
        <w:spacing w:after="187"/>
        <w:ind w:left="1800" w:hanging="10"/>
        <w:rPr>
          <w:rFonts w:ascii="Times New Roman" w:hAnsi="Times New Roman" w:cs="Times New Roman"/>
        </w:rPr>
      </w:pPr>
      <w:r w:rsidRPr="00645403">
        <w:rPr>
          <w:rFonts w:ascii="Times New Roman" w:hAnsi="Times New Roman" w:cs="Times New Roman"/>
          <w:sz w:val="32"/>
        </w:rPr>
        <w:t>Department of Statistics and Data Science</w:t>
      </w:r>
    </w:p>
    <w:p w14:paraId="15C4190B" w14:textId="77777777" w:rsidR="00A84A00" w:rsidRPr="00645403" w:rsidRDefault="00A84A00" w:rsidP="00A84A00">
      <w:pPr>
        <w:spacing w:after="187"/>
        <w:ind w:left="1685" w:hanging="10"/>
        <w:rPr>
          <w:rFonts w:ascii="Times New Roman" w:hAnsi="Times New Roman" w:cs="Times New Roman"/>
          <w:sz w:val="32"/>
        </w:rPr>
      </w:pPr>
      <w:r w:rsidRPr="00645403">
        <w:rPr>
          <w:rFonts w:ascii="Times New Roman" w:hAnsi="Times New Roman" w:cs="Times New Roman"/>
          <w:sz w:val="32"/>
        </w:rPr>
        <w:t>Christ(Deemed to be University), Bangalore</w:t>
      </w:r>
    </w:p>
    <w:p w14:paraId="03EBD50C" w14:textId="77777777" w:rsidR="00A84A00" w:rsidRPr="00645403" w:rsidRDefault="00A84A00" w:rsidP="00A84A00">
      <w:pPr>
        <w:jc w:val="both"/>
        <w:rPr>
          <w:rFonts w:ascii="Times New Roman" w:hAnsi="Times New Roman" w:cs="Times New Roman"/>
          <w:b/>
          <w:bCs/>
          <w:sz w:val="28"/>
          <w:szCs w:val="28"/>
        </w:rPr>
      </w:pPr>
    </w:p>
    <w:p w14:paraId="33D86AD8" w14:textId="77777777" w:rsidR="00A84A00" w:rsidRPr="00645403" w:rsidRDefault="00A84A00" w:rsidP="00A84A00">
      <w:pPr>
        <w:jc w:val="both"/>
        <w:rPr>
          <w:rFonts w:ascii="Times New Roman" w:hAnsi="Times New Roman" w:cs="Times New Roman"/>
          <w:b/>
          <w:bCs/>
          <w:sz w:val="28"/>
          <w:szCs w:val="28"/>
        </w:rPr>
      </w:pPr>
    </w:p>
    <w:p w14:paraId="040F575F" w14:textId="7D82AA72" w:rsidR="00A84A00" w:rsidRPr="00645403" w:rsidRDefault="00A84A00" w:rsidP="00A84A00">
      <w:pPr>
        <w:jc w:val="both"/>
        <w:rPr>
          <w:rFonts w:ascii="Times New Roman" w:hAnsi="Times New Roman" w:cs="Times New Roman"/>
          <w:b/>
          <w:bCs/>
          <w:sz w:val="28"/>
          <w:szCs w:val="28"/>
        </w:rPr>
      </w:pPr>
    </w:p>
    <w:p w14:paraId="01158BB8" w14:textId="69B29BC9" w:rsidR="00A84A00" w:rsidRPr="00A84A00" w:rsidRDefault="00A84A00" w:rsidP="00A84A00">
      <w:pPr>
        <w:jc w:val="both"/>
        <w:rPr>
          <w:rFonts w:ascii="Times New Roman" w:hAnsi="Times New Roman" w:cs="Times New Roman"/>
          <w:b/>
          <w:bCs/>
          <w:sz w:val="28"/>
          <w:szCs w:val="28"/>
        </w:rPr>
      </w:pPr>
      <w:r w:rsidRPr="00A84A00">
        <w:rPr>
          <w:rFonts w:ascii="Times New Roman" w:hAnsi="Times New Roman" w:cs="Times New Roman"/>
          <w:b/>
          <w:bCs/>
          <w:sz w:val="28"/>
          <w:szCs w:val="28"/>
        </w:rPr>
        <w:lastRenderedPageBreak/>
        <w:t>INTRODUCTION</w:t>
      </w:r>
    </w:p>
    <w:p w14:paraId="7EA02634" w14:textId="56AEA176" w:rsidR="00F574C6" w:rsidRPr="00F574C6" w:rsidRDefault="00A84A00" w:rsidP="00F574C6">
      <w:pPr>
        <w:jc w:val="both"/>
        <w:rPr>
          <w:rFonts w:ascii="Times New Roman" w:hAnsi="Times New Roman" w:cs="Times New Roman"/>
          <w:sz w:val="24"/>
          <w:szCs w:val="24"/>
        </w:rPr>
      </w:pPr>
      <w:r w:rsidRPr="00A84A00">
        <w:rPr>
          <w:rFonts w:ascii="Times New Roman" w:hAnsi="Times New Roman" w:cs="Times New Roman"/>
          <w:sz w:val="24"/>
          <w:szCs w:val="24"/>
        </w:rPr>
        <w:t xml:space="preserve">The </w:t>
      </w:r>
      <w:r w:rsidR="00F574C6" w:rsidRPr="00645403">
        <w:rPr>
          <w:rFonts w:ascii="Times New Roman" w:hAnsi="Times New Roman" w:cs="Times New Roman"/>
          <w:sz w:val="24"/>
          <w:szCs w:val="24"/>
        </w:rPr>
        <w:t>traditional model</w:t>
      </w:r>
      <w:r w:rsidR="00531469">
        <w:rPr>
          <w:rFonts w:ascii="Times New Roman" w:hAnsi="Times New Roman" w:cs="Times New Roman"/>
          <w:sz w:val="24"/>
          <w:szCs w:val="24"/>
        </w:rPr>
        <w:t xml:space="preserve">s </w:t>
      </w:r>
      <w:r w:rsidR="00F574C6" w:rsidRPr="00645403">
        <w:rPr>
          <w:rFonts w:ascii="Times New Roman" w:hAnsi="Times New Roman" w:cs="Times New Roman"/>
          <w:sz w:val="24"/>
          <w:szCs w:val="24"/>
        </w:rPr>
        <w:t>which perform financial analysis</w:t>
      </w:r>
      <w:r w:rsidRPr="00A84A00">
        <w:rPr>
          <w:rFonts w:ascii="Times New Roman" w:hAnsi="Times New Roman" w:cs="Times New Roman"/>
          <w:sz w:val="24"/>
          <w:szCs w:val="24"/>
        </w:rPr>
        <w:t xml:space="preserve"> ha</w:t>
      </w:r>
      <w:r w:rsidR="00F574C6" w:rsidRPr="00645403">
        <w:rPr>
          <w:rFonts w:ascii="Times New Roman" w:hAnsi="Times New Roman" w:cs="Times New Roman"/>
          <w:sz w:val="24"/>
          <w:szCs w:val="24"/>
        </w:rPr>
        <w:t>ve</w:t>
      </w:r>
      <w:r w:rsidRPr="00A84A00">
        <w:rPr>
          <w:rFonts w:ascii="Times New Roman" w:hAnsi="Times New Roman" w:cs="Times New Roman"/>
          <w:sz w:val="24"/>
          <w:szCs w:val="24"/>
        </w:rPr>
        <w:t xml:space="preserve"> relied on aggregate index returns as</w:t>
      </w:r>
      <w:r w:rsidR="00F574C6" w:rsidRPr="00645403">
        <w:rPr>
          <w:rFonts w:ascii="Times New Roman" w:hAnsi="Times New Roman" w:cs="Times New Roman"/>
          <w:sz w:val="24"/>
          <w:szCs w:val="24"/>
        </w:rPr>
        <w:t xml:space="preserve"> an important measure of </w:t>
      </w:r>
      <w:r w:rsidR="00F574C6" w:rsidRPr="00645403">
        <w:rPr>
          <w:rFonts w:ascii="Times New Roman" w:hAnsi="Times New Roman" w:cs="Times New Roman"/>
          <w:sz w:val="24"/>
          <w:szCs w:val="24"/>
        </w:rPr>
        <w:t xml:space="preserve">the </w:t>
      </w:r>
      <w:r w:rsidR="00F574C6" w:rsidRPr="00645403">
        <w:rPr>
          <w:rFonts w:ascii="Times New Roman" w:hAnsi="Times New Roman" w:cs="Times New Roman"/>
          <w:sz w:val="24"/>
          <w:szCs w:val="24"/>
        </w:rPr>
        <w:t xml:space="preserve">index health and </w:t>
      </w:r>
      <w:r w:rsidR="00F574C6" w:rsidRPr="00645403">
        <w:rPr>
          <w:rFonts w:ascii="Times New Roman" w:hAnsi="Times New Roman" w:cs="Times New Roman"/>
          <w:sz w:val="24"/>
          <w:szCs w:val="24"/>
        </w:rPr>
        <w:t xml:space="preserve">stock </w:t>
      </w:r>
      <w:r w:rsidR="00F574C6" w:rsidRPr="00645403">
        <w:rPr>
          <w:rFonts w:ascii="Times New Roman" w:hAnsi="Times New Roman" w:cs="Times New Roman"/>
          <w:sz w:val="24"/>
          <w:szCs w:val="24"/>
        </w:rPr>
        <w:t xml:space="preserve">market performance. </w:t>
      </w:r>
      <w:r w:rsidR="00F574C6" w:rsidRPr="00645403">
        <w:rPr>
          <w:rFonts w:ascii="Times New Roman" w:hAnsi="Times New Roman" w:cs="Times New Roman"/>
          <w:sz w:val="24"/>
          <w:szCs w:val="24"/>
        </w:rPr>
        <w:t>But,</w:t>
      </w:r>
      <w:r w:rsidR="00F574C6" w:rsidRPr="00645403">
        <w:rPr>
          <w:rFonts w:ascii="Times New Roman" w:hAnsi="Times New Roman" w:cs="Times New Roman"/>
          <w:sz w:val="24"/>
          <w:szCs w:val="24"/>
        </w:rPr>
        <w:t xml:space="preserve"> during recent times, the United States stock market has witnessed an era of extreme capitalization concentration. Th</w:t>
      </w:r>
      <w:r w:rsidR="00F574C6" w:rsidRPr="00645403">
        <w:rPr>
          <w:rFonts w:ascii="Times New Roman" w:hAnsi="Times New Roman" w:cs="Times New Roman"/>
          <w:sz w:val="24"/>
          <w:szCs w:val="24"/>
        </w:rPr>
        <w:t>is</w:t>
      </w:r>
      <w:r w:rsidR="00F574C6" w:rsidRPr="00645403">
        <w:rPr>
          <w:rFonts w:ascii="Times New Roman" w:hAnsi="Times New Roman" w:cs="Times New Roman"/>
          <w:sz w:val="24"/>
          <w:szCs w:val="24"/>
        </w:rPr>
        <w:t xml:space="preserve"> has been driven by a small number of mega-cap technology firms</w:t>
      </w:r>
      <w:r w:rsidR="00F574C6" w:rsidRPr="00645403">
        <w:rPr>
          <w:rFonts w:ascii="Times New Roman" w:hAnsi="Times New Roman" w:cs="Times New Roman"/>
          <w:sz w:val="24"/>
          <w:szCs w:val="24"/>
        </w:rPr>
        <w:t xml:space="preserve"> </w:t>
      </w:r>
      <w:r w:rsidR="00F574C6" w:rsidRPr="00645403">
        <w:rPr>
          <w:rFonts w:ascii="Times New Roman" w:hAnsi="Times New Roman" w:cs="Times New Roman"/>
          <w:sz w:val="24"/>
          <w:szCs w:val="24"/>
        </w:rPr>
        <w:t>referred to as the 'Magnificent 7.' During the 2024</w:t>
      </w:r>
      <w:r w:rsidR="00F574C6" w:rsidRPr="00645403">
        <w:rPr>
          <w:rFonts w:ascii="Times New Roman" w:hAnsi="Times New Roman" w:cs="Times New Roman"/>
          <w:sz w:val="24"/>
          <w:szCs w:val="24"/>
        </w:rPr>
        <w:t xml:space="preserve"> to </w:t>
      </w:r>
      <w:r w:rsidR="00F574C6" w:rsidRPr="00645403">
        <w:rPr>
          <w:rFonts w:ascii="Times New Roman" w:hAnsi="Times New Roman" w:cs="Times New Roman"/>
          <w:sz w:val="24"/>
          <w:szCs w:val="24"/>
        </w:rPr>
        <w:t>2025 cycle,</w:t>
      </w:r>
      <w:r w:rsidR="00F574C6" w:rsidRPr="00645403">
        <w:rPr>
          <w:rFonts w:ascii="Times New Roman" w:hAnsi="Times New Roman" w:cs="Times New Roman"/>
          <w:sz w:val="24"/>
          <w:szCs w:val="24"/>
        </w:rPr>
        <w:t xml:space="preserve"> it was found that</w:t>
      </w:r>
      <w:r w:rsidR="00F574C6" w:rsidRPr="00645403">
        <w:rPr>
          <w:rFonts w:ascii="Times New Roman" w:hAnsi="Times New Roman" w:cs="Times New Roman"/>
          <w:sz w:val="24"/>
          <w:szCs w:val="24"/>
        </w:rPr>
        <w:t xml:space="preserve"> the top ten firms of the Standard &amp; Poor’s 500 Index had nearly 36% of the total</w:t>
      </w:r>
      <w:r w:rsidR="00F574C6" w:rsidRPr="00645403">
        <w:rPr>
          <w:rFonts w:ascii="Times New Roman" w:hAnsi="Times New Roman" w:cs="Times New Roman"/>
          <w:sz w:val="24"/>
          <w:szCs w:val="24"/>
        </w:rPr>
        <w:t xml:space="preserve"> market</w:t>
      </w:r>
      <w:r w:rsidR="00F574C6" w:rsidRPr="00645403">
        <w:rPr>
          <w:rFonts w:ascii="Times New Roman" w:hAnsi="Times New Roman" w:cs="Times New Roman"/>
          <w:sz w:val="24"/>
          <w:szCs w:val="24"/>
        </w:rPr>
        <w:t xml:space="preserve"> capitalization. This</w:t>
      </w:r>
      <w:r w:rsidR="00F574C6" w:rsidRPr="00645403">
        <w:rPr>
          <w:rFonts w:ascii="Times New Roman" w:hAnsi="Times New Roman" w:cs="Times New Roman"/>
          <w:sz w:val="24"/>
          <w:szCs w:val="24"/>
        </w:rPr>
        <w:t xml:space="preserve"> </w:t>
      </w:r>
      <w:r w:rsidR="00F574C6" w:rsidRPr="00645403">
        <w:rPr>
          <w:rFonts w:ascii="Times New Roman" w:hAnsi="Times New Roman" w:cs="Times New Roman"/>
          <w:sz w:val="24"/>
          <w:szCs w:val="24"/>
        </w:rPr>
        <w:t>is much higher than the historical average</w:t>
      </w:r>
      <w:r w:rsidR="00F574C6" w:rsidRPr="00645403">
        <w:rPr>
          <w:rFonts w:ascii="Times New Roman" w:hAnsi="Times New Roman" w:cs="Times New Roman"/>
          <w:sz w:val="24"/>
          <w:szCs w:val="24"/>
        </w:rPr>
        <w:t xml:space="preserve"> concentration</w:t>
      </w:r>
      <w:r w:rsidR="00F574C6" w:rsidRPr="00645403">
        <w:rPr>
          <w:rFonts w:ascii="Times New Roman" w:hAnsi="Times New Roman" w:cs="Times New Roman"/>
          <w:sz w:val="24"/>
          <w:szCs w:val="24"/>
        </w:rPr>
        <w:t xml:space="preserve"> of 20%, </w:t>
      </w:r>
      <w:r w:rsidR="00F574C6" w:rsidRPr="00645403">
        <w:rPr>
          <w:rFonts w:ascii="Times New Roman" w:hAnsi="Times New Roman" w:cs="Times New Roman"/>
          <w:sz w:val="24"/>
          <w:szCs w:val="24"/>
        </w:rPr>
        <w:t>showing</w:t>
      </w:r>
      <w:r w:rsidR="00F574C6" w:rsidRPr="00645403">
        <w:rPr>
          <w:rFonts w:ascii="Times New Roman" w:hAnsi="Times New Roman" w:cs="Times New Roman"/>
          <w:sz w:val="24"/>
          <w:szCs w:val="24"/>
        </w:rPr>
        <w:t xml:space="preserve"> a skewed distribution</w:t>
      </w:r>
      <w:r w:rsidR="00F574C6" w:rsidRPr="00645403">
        <w:rPr>
          <w:rFonts w:ascii="Times New Roman" w:hAnsi="Times New Roman" w:cs="Times New Roman"/>
          <w:sz w:val="24"/>
          <w:szCs w:val="24"/>
        </w:rPr>
        <w:t xml:space="preserve"> in the index.</w:t>
      </w:r>
    </w:p>
    <w:p w14:paraId="60E68E9A" w14:textId="28DDEAAC" w:rsidR="00F574C6" w:rsidRPr="00F574C6" w:rsidRDefault="00F574C6" w:rsidP="00F574C6">
      <w:pPr>
        <w:jc w:val="both"/>
        <w:rPr>
          <w:rFonts w:ascii="Times New Roman" w:hAnsi="Times New Roman" w:cs="Times New Roman"/>
          <w:sz w:val="24"/>
          <w:szCs w:val="24"/>
        </w:rPr>
      </w:pPr>
      <w:r w:rsidRPr="00F574C6">
        <w:rPr>
          <w:rFonts w:ascii="Times New Roman" w:hAnsi="Times New Roman" w:cs="Times New Roman"/>
          <w:sz w:val="24"/>
          <w:szCs w:val="24"/>
        </w:rPr>
        <w:t xml:space="preserve">Although this has resulted in </w:t>
      </w:r>
      <w:r w:rsidRPr="00645403">
        <w:rPr>
          <w:rFonts w:ascii="Times New Roman" w:hAnsi="Times New Roman" w:cs="Times New Roman"/>
          <w:sz w:val="24"/>
          <w:szCs w:val="24"/>
        </w:rPr>
        <w:t xml:space="preserve">high </w:t>
      </w:r>
      <w:r w:rsidRPr="00F574C6">
        <w:rPr>
          <w:rFonts w:ascii="Times New Roman" w:hAnsi="Times New Roman" w:cs="Times New Roman"/>
          <w:sz w:val="24"/>
          <w:szCs w:val="24"/>
        </w:rPr>
        <w:t>index returns, it has also led to a</w:t>
      </w:r>
      <w:r w:rsidRPr="00645403">
        <w:rPr>
          <w:rFonts w:ascii="Times New Roman" w:hAnsi="Times New Roman" w:cs="Times New Roman"/>
          <w:sz w:val="24"/>
          <w:szCs w:val="24"/>
        </w:rPr>
        <w:t xml:space="preserve"> heated </w:t>
      </w:r>
      <w:r w:rsidRPr="00F574C6">
        <w:rPr>
          <w:rFonts w:ascii="Times New Roman" w:hAnsi="Times New Roman" w:cs="Times New Roman"/>
          <w:sz w:val="24"/>
          <w:szCs w:val="24"/>
        </w:rPr>
        <w:t>institutional debate regarding the stability of the overall economy</w:t>
      </w:r>
      <w:r w:rsidRPr="00645403">
        <w:rPr>
          <w:rFonts w:ascii="Times New Roman" w:hAnsi="Times New Roman" w:cs="Times New Roman"/>
          <w:sz w:val="24"/>
          <w:szCs w:val="24"/>
        </w:rPr>
        <w:t xml:space="preserve"> and the fragility of the stock market</w:t>
      </w:r>
      <w:r w:rsidRPr="00F574C6">
        <w:rPr>
          <w:rFonts w:ascii="Times New Roman" w:hAnsi="Times New Roman" w:cs="Times New Roman"/>
          <w:sz w:val="24"/>
          <w:szCs w:val="24"/>
        </w:rPr>
        <w:t xml:space="preserve">. In other words, if a </w:t>
      </w:r>
      <w:r w:rsidRPr="00645403">
        <w:rPr>
          <w:rFonts w:ascii="Times New Roman" w:hAnsi="Times New Roman" w:cs="Times New Roman"/>
          <w:sz w:val="24"/>
          <w:szCs w:val="24"/>
        </w:rPr>
        <w:t>significant</w:t>
      </w:r>
      <w:r w:rsidRPr="00F574C6">
        <w:rPr>
          <w:rFonts w:ascii="Times New Roman" w:hAnsi="Times New Roman" w:cs="Times New Roman"/>
          <w:sz w:val="24"/>
          <w:szCs w:val="24"/>
        </w:rPr>
        <w:t xml:space="preserve"> portion of the </w:t>
      </w:r>
      <w:r w:rsidRPr="00645403">
        <w:rPr>
          <w:rFonts w:ascii="Times New Roman" w:hAnsi="Times New Roman" w:cs="Times New Roman"/>
          <w:sz w:val="24"/>
          <w:szCs w:val="24"/>
        </w:rPr>
        <w:t>market</w:t>
      </w:r>
      <w:r w:rsidRPr="00F574C6">
        <w:rPr>
          <w:rFonts w:ascii="Times New Roman" w:hAnsi="Times New Roman" w:cs="Times New Roman"/>
          <w:sz w:val="24"/>
          <w:szCs w:val="24"/>
        </w:rPr>
        <w:t xml:space="preserve"> is dominated by a small number of firms, then it is possible </w:t>
      </w:r>
      <w:r w:rsidRPr="00645403">
        <w:rPr>
          <w:rFonts w:ascii="Times New Roman" w:hAnsi="Times New Roman" w:cs="Times New Roman"/>
          <w:sz w:val="24"/>
          <w:szCs w:val="24"/>
        </w:rPr>
        <w:t xml:space="preserve">that </w:t>
      </w:r>
      <w:r w:rsidRPr="00F574C6">
        <w:rPr>
          <w:rFonts w:ascii="Times New Roman" w:hAnsi="Times New Roman" w:cs="Times New Roman"/>
          <w:sz w:val="24"/>
          <w:szCs w:val="24"/>
        </w:rPr>
        <w:t>the remaining firms</w:t>
      </w:r>
      <w:r w:rsidRPr="00645403">
        <w:rPr>
          <w:rFonts w:ascii="Times New Roman" w:hAnsi="Times New Roman" w:cs="Times New Roman"/>
          <w:sz w:val="24"/>
          <w:szCs w:val="24"/>
        </w:rPr>
        <w:t xml:space="preserve"> may be underperforming</w:t>
      </w:r>
      <w:r w:rsidRPr="00F574C6">
        <w:rPr>
          <w:rFonts w:ascii="Times New Roman" w:hAnsi="Times New Roman" w:cs="Times New Roman"/>
          <w:sz w:val="24"/>
          <w:szCs w:val="24"/>
        </w:rPr>
        <w:t xml:space="preserve">. </w:t>
      </w:r>
      <w:r w:rsidRPr="00645403">
        <w:rPr>
          <w:rFonts w:ascii="Times New Roman" w:hAnsi="Times New Roman" w:cs="Times New Roman"/>
          <w:sz w:val="24"/>
          <w:szCs w:val="24"/>
        </w:rPr>
        <w:t>As a result</w:t>
      </w:r>
      <w:r w:rsidRPr="00F574C6">
        <w:rPr>
          <w:rFonts w:ascii="Times New Roman" w:hAnsi="Times New Roman" w:cs="Times New Roman"/>
          <w:sz w:val="24"/>
          <w:szCs w:val="24"/>
        </w:rPr>
        <w:t>, understanding this has become a priority for researchers and policy makers</w:t>
      </w:r>
    </w:p>
    <w:p w14:paraId="2021A04E" w14:textId="07F99193" w:rsidR="00A84A00" w:rsidRPr="00A84A00" w:rsidRDefault="00A84A00" w:rsidP="00F574C6">
      <w:pPr>
        <w:jc w:val="both"/>
        <w:rPr>
          <w:rFonts w:ascii="Times New Roman" w:hAnsi="Times New Roman" w:cs="Times New Roman"/>
          <w:sz w:val="24"/>
          <w:szCs w:val="24"/>
        </w:rPr>
      </w:pPr>
    </w:p>
    <w:p w14:paraId="6A8EF881" w14:textId="77777777" w:rsidR="00A84A00" w:rsidRPr="00A84A00" w:rsidRDefault="00A84A00" w:rsidP="00A84A00">
      <w:pPr>
        <w:jc w:val="both"/>
        <w:rPr>
          <w:rFonts w:ascii="Times New Roman" w:hAnsi="Times New Roman" w:cs="Times New Roman"/>
          <w:b/>
          <w:bCs/>
          <w:sz w:val="28"/>
          <w:szCs w:val="28"/>
        </w:rPr>
      </w:pPr>
      <w:r w:rsidRPr="00A84A00">
        <w:rPr>
          <w:rFonts w:ascii="Times New Roman" w:hAnsi="Times New Roman" w:cs="Times New Roman"/>
          <w:b/>
          <w:bCs/>
          <w:sz w:val="28"/>
          <w:szCs w:val="28"/>
        </w:rPr>
        <w:t>PROBLEM STATEMENT</w:t>
      </w:r>
    </w:p>
    <w:p w14:paraId="09E0522C" w14:textId="23B7DCBE" w:rsidR="00A84A00" w:rsidRPr="00645403" w:rsidRDefault="00A84A00" w:rsidP="00A84A00">
      <w:pPr>
        <w:jc w:val="both"/>
        <w:rPr>
          <w:rFonts w:ascii="Times New Roman" w:hAnsi="Times New Roman" w:cs="Times New Roman"/>
          <w:sz w:val="24"/>
          <w:szCs w:val="24"/>
        </w:rPr>
      </w:pPr>
      <w:r w:rsidRPr="00A84A00">
        <w:rPr>
          <w:rFonts w:ascii="Times New Roman" w:hAnsi="Times New Roman" w:cs="Times New Roman"/>
          <w:sz w:val="24"/>
          <w:szCs w:val="24"/>
        </w:rPr>
        <w:t xml:space="preserve">The S&amp;P 500 index has reached a historical peak of 36% </w:t>
      </w:r>
      <w:r w:rsidR="00FF2062" w:rsidRPr="00645403">
        <w:rPr>
          <w:rFonts w:ascii="Times New Roman" w:hAnsi="Times New Roman" w:cs="Times New Roman"/>
          <w:sz w:val="24"/>
          <w:szCs w:val="24"/>
        </w:rPr>
        <w:t xml:space="preserve">market </w:t>
      </w:r>
      <w:r w:rsidRPr="00A84A00">
        <w:rPr>
          <w:rFonts w:ascii="Times New Roman" w:hAnsi="Times New Roman" w:cs="Times New Roman"/>
          <w:sz w:val="24"/>
          <w:szCs w:val="24"/>
        </w:rPr>
        <w:t xml:space="preserve">concentration within its top ten components, yet </w:t>
      </w:r>
      <w:r w:rsidR="00FF2062" w:rsidRPr="00645403">
        <w:rPr>
          <w:rFonts w:ascii="Times New Roman" w:hAnsi="Times New Roman" w:cs="Times New Roman"/>
          <w:sz w:val="24"/>
          <w:szCs w:val="24"/>
        </w:rPr>
        <w:t xml:space="preserve">the </w:t>
      </w:r>
      <w:r w:rsidRPr="00A84A00">
        <w:rPr>
          <w:rFonts w:ascii="Times New Roman" w:hAnsi="Times New Roman" w:cs="Times New Roman"/>
          <w:sz w:val="24"/>
          <w:szCs w:val="24"/>
        </w:rPr>
        <w:t xml:space="preserve">current quantitative analysis </w:t>
      </w:r>
      <w:r w:rsidR="00FF2062" w:rsidRPr="00645403">
        <w:rPr>
          <w:rFonts w:ascii="Times New Roman" w:hAnsi="Times New Roman" w:cs="Times New Roman"/>
          <w:sz w:val="24"/>
          <w:szCs w:val="24"/>
        </w:rPr>
        <w:t xml:space="preserve">is </w:t>
      </w:r>
      <w:r w:rsidRPr="00A84A00">
        <w:rPr>
          <w:rFonts w:ascii="Times New Roman" w:hAnsi="Times New Roman" w:cs="Times New Roman"/>
          <w:sz w:val="24"/>
          <w:szCs w:val="24"/>
        </w:rPr>
        <w:t>dependent on aggregated index returns. These models are descriptive rather than diagnostic</w:t>
      </w:r>
      <w:r w:rsidR="00FF2062" w:rsidRPr="00645403">
        <w:rPr>
          <w:rFonts w:ascii="Times New Roman" w:hAnsi="Times New Roman" w:cs="Times New Roman"/>
          <w:sz w:val="24"/>
          <w:szCs w:val="24"/>
        </w:rPr>
        <w:t>. Moreover,</w:t>
      </w:r>
      <w:r w:rsidRPr="00A84A00">
        <w:rPr>
          <w:rFonts w:ascii="Times New Roman" w:hAnsi="Times New Roman" w:cs="Times New Roman"/>
          <w:sz w:val="24"/>
          <w:szCs w:val="24"/>
        </w:rPr>
        <w:t xml:space="preserve"> they </w:t>
      </w:r>
      <w:r w:rsidR="00FF2062" w:rsidRPr="00645403">
        <w:rPr>
          <w:rFonts w:ascii="Times New Roman" w:hAnsi="Times New Roman" w:cs="Times New Roman"/>
          <w:sz w:val="24"/>
          <w:szCs w:val="24"/>
        </w:rPr>
        <w:t xml:space="preserve">also </w:t>
      </w:r>
      <w:r w:rsidRPr="00A84A00">
        <w:rPr>
          <w:rFonts w:ascii="Times New Roman" w:hAnsi="Times New Roman" w:cs="Times New Roman"/>
          <w:sz w:val="24"/>
          <w:szCs w:val="24"/>
        </w:rPr>
        <w:t>fail to address the underlying vulnerability of the market or accurately identify if economic growth is truly broad-based</w:t>
      </w:r>
      <w:r w:rsidR="00FF2062" w:rsidRPr="00645403">
        <w:rPr>
          <w:rFonts w:ascii="Times New Roman" w:hAnsi="Times New Roman" w:cs="Times New Roman"/>
          <w:sz w:val="24"/>
          <w:szCs w:val="24"/>
        </w:rPr>
        <w:t xml:space="preserve"> or not</w:t>
      </w:r>
      <w:r w:rsidRPr="00A84A00">
        <w:rPr>
          <w:rFonts w:ascii="Times New Roman" w:hAnsi="Times New Roman" w:cs="Times New Roman"/>
          <w:sz w:val="24"/>
          <w:szCs w:val="24"/>
        </w:rPr>
        <w:t xml:space="preserve">. </w:t>
      </w:r>
      <w:r w:rsidR="00FF2062" w:rsidRPr="00645403">
        <w:rPr>
          <w:rFonts w:ascii="Times New Roman" w:hAnsi="Times New Roman" w:cs="Times New Roman"/>
          <w:sz w:val="24"/>
          <w:szCs w:val="24"/>
        </w:rPr>
        <w:t>As a result</w:t>
      </w:r>
      <w:r w:rsidRPr="00A84A00">
        <w:rPr>
          <w:rFonts w:ascii="Times New Roman" w:hAnsi="Times New Roman" w:cs="Times New Roman"/>
          <w:sz w:val="24"/>
          <w:szCs w:val="24"/>
        </w:rPr>
        <w:t>, there exists a critical gap for a dynamic, diagnostic model capable of mathematically decomposing these returns to reveal the true participation structure and internal health of the index.</w:t>
      </w:r>
    </w:p>
    <w:p w14:paraId="009F4476" w14:textId="77777777" w:rsidR="00A84A00" w:rsidRPr="00A84A00" w:rsidRDefault="00A84A00" w:rsidP="00A84A00">
      <w:pPr>
        <w:jc w:val="both"/>
        <w:rPr>
          <w:rFonts w:ascii="Times New Roman" w:hAnsi="Times New Roman" w:cs="Times New Roman"/>
          <w:sz w:val="24"/>
          <w:szCs w:val="24"/>
        </w:rPr>
      </w:pPr>
    </w:p>
    <w:p w14:paraId="7DBD0546" w14:textId="77777777" w:rsidR="00A84A00" w:rsidRPr="00A84A00" w:rsidRDefault="00A84A00" w:rsidP="00A84A00">
      <w:pPr>
        <w:jc w:val="both"/>
        <w:rPr>
          <w:rFonts w:ascii="Times New Roman" w:hAnsi="Times New Roman" w:cs="Times New Roman"/>
          <w:b/>
          <w:bCs/>
          <w:sz w:val="28"/>
          <w:szCs w:val="28"/>
        </w:rPr>
      </w:pPr>
      <w:r w:rsidRPr="00A84A00">
        <w:rPr>
          <w:rFonts w:ascii="Times New Roman" w:hAnsi="Times New Roman" w:cs="Times New Roman"/>
          <w:b/>
          <w:bCs/>
          <w:sz w:val="28"/>
          <w:szCs w:val="28"/>
        </w:rPr>
        <w:t>RESEARCH QUESTIONS</w:t>
      </w:r>
    </w:p>
    <w:p w14:paraId="57803D79" w14:textId="77777777" w:rsidR="00A84A00" w:rsidRPr="00A84A00" w:rsidRDefault="00A84A00" w:rsidP="00A84A00">
      <w:pPr>
        <w:jc w:val="both"/>
        <w:rPr>
          <w:rFonts w:ascii="Times New Roman" w:hAnsi="Times New Roman" w:cs="Times New Roman"/>
          <w:sz w:val="24"/>
          <w:szCs w:val="24"/>
        </w:rPr>
      </w:pPr>
      <w:r w:rsidRPr="00A84A00">
        <w:rPr>
          <w:rFonts w:ascii="Times New Roman" w:hAnsi="Times New Roman" w:cs="Times New Roman"/>
          <w:sz w:val="24"/>
          <w:szCs w:val="24"/>
        </w:rPr>
        <w:t>This study aims to explore the internal mechanics of equity markets through the following research questions:</w:t>
      </w:r>
    </w:p>
    <w:p w14:paraId="6DC32C49" w14:textId="77777777" w:rsidR="00A84A00" w:rsidRPr="00A84A00" w:rsidRDefault="00A84A00" w:rsidP="00A84A00">
      <w:pPr>
        <w:numPr>
          <w:ilvl w:val="0"/>
          <w:numId w:val="1"/>
        </w:numPr>
        <w:jc w:val="both"/>
        <w:rPr>
          <w:rFonts w:ascii="Times New Roman" w:hAnsi="Times New Roman" w:cs="Times New Roman"/>
          <w:sz w:val="24"/>
          <w:szCs w:val="24"/>
        </w:rPr>
      </w:pPr>
      <w:r w:rsidRPr="00A84A00">
        <w:rPr>
          <w:rFonts w:ascii="Times New Roman" w:hAnsi="Times New Roman" w:cs="Times New Roman"/>
          <w:sz w:val="24"/>
          <w:szCs w:val="24"/>
        </w:rPr>
        <w:t>How do firm-level participation structures (top-heavy versus broad-based) evolve over time within the S&amp;P 500?</w:t>
      </w:r>
    </w:p>
    <w:p w14:paraId="7386EAD9" w14:textId="77777777" w:rsidR="00A84A00" w:rsidRPr="00A84A00" w:rsidRDefault="00A84A00" w:rsidP="00A84A00">
      <w:pPr>
        <w:numPr>
          <w:ilvl w:val="0"/>
          <w:numId w:val="1"/>
        </w:numPr>
        <w:jc w:val="both"/>
        <w:rPr>
          <w:rFonts w:ascii="Times New Roman" w:hAnsi="Times New Roman" w:cs="Times New Roman"/>
          <w:sz w:val="24"/>
          <w:szCs w:val="24"/>
        </w:rPr>
      </w:pPr>
      <w:r w:rsidRPr="00A84A00">
        <w:rPr>
          <w:rFonts w:ascii="Times New Roman" w:hAnsi="Times New Roman" w:cs="Times New Roman"/>
          <w:sz w:val="24"/>
          <w:szCs w:val="24"/>
        </w:rPr>
        <w:t>Can aggregate index returns be mathematically decomposed into distinct, dynamic firm-level contribution groups, specifically categorized as Drivers, Supporters, and Laggards?</w:t>
      </w:r>
    </w:p>
    <w:p w14:paraId="1CD60840" w14:textId="77777777" w:rsidR="00A84A00" w:rsidRPr="00645403" w:rsidRDefault="00A84A00" w:rsidP="00A84A00">
      <w:pPr>
        <w:numPr>
          <w:ilvl w:val="0"/>
          <w:numId w:val="1"/>
        </w:numPr>
        <w:jc w:val="both"/>
        <w:rPr>
          <w:rFonts w:ascii="Times New Roman" w:hAnsi="Times New Roman" w:cs="Times New Roman"/>
          <w:sz w:val="24"/>
          <w:szCs w:val="24"/>
        </w:rPr>
      </w:pPr>
      <w:r w:rsidRPr="00A84A00">
        <w:rPr>
          <w:rFonts w:ascii="Times New Roman" w:hAnsi="Times New Roman" w:cs="Times New Roman"/>
          <w:sz w:val="24"/>
          <w:szCs w:val="24"/>
        </w:rPr>
        <w:t>What macroeconomic indicators trigger structural shifts in these participation levels, and how do these structures behave during periods of high volatility?</w:t>
      </w:r>
    </w:p>
    <w:p w14:paraId="4463A47E" w14:textId="77777777" w:rsidR="00A84A00" w:rsidRPr="00645403" w:rsidRDefault="00A84A00" w:rsidP="00A84A00">
      <w:pPr>
        <w:jc w:val="both"/>
        <w:rPr>
          <w:rFonts w:ascii="Times New Roman" w:hAnsi="Times New Roman" w:cs="Times New Roman"/>
          <w:sz w:val="24"/>
          <w:szCs w:val="24"/>
        </w:rPr>
      </w:pPr>
    </w:p>
    <w:p w14:paraId="2695DADB" w14:textId="77777777" w:rsidR="003B7C3E" w:rsidRPr="00645403" w:rsidRDefault="003B7C3E" w:rsidP="00A84A00">
      <w:pPr>
        <w:jc w:val="both"/>
        <w:rPr>
          <w:rFonts w:ascii="Times New Roman" w:hAnsi="Times New Roman" w:cs="Times New Roman"/>
          <w:sz w:val="24"/>
          <w:szCs w:val="24"/>
        </w:rPr>
      </w:pPr>
    </w:p>
    <w:p w14:paraId="55170A94" w14:textId="77777777" w:rsidR="003B7C3E" w:rsidRPr="00645403" w:rsidRDefault="003B7C3E" w:rsidP="00A84A00">
      <w:pPr>
        <w:jc w:val="both"/>
        <w:rPr>
          <w:rFonts w:ascii="Times New Roman" w:hAnsi="Times New Roman" w:cs="Times New Roman"/>
          <w:sz w:val="24"/>
          <w:szCs w:val="24"/>
        </w:rPr>
      </w:pPr>
    </w:p>
    <w:p w14:paraId="754BA3D8" w14:textId="77777777" w:rsidR="003B7C3E" w:rsidRPr="00645403" w:rsidRDefault="003B7C3E" w:rsidP="00A84A00">
      <w:pPr>
        <w:jc w:val="both"/>
        <w:rPr>
          <w:rFonts w:ascii="Times New Roman" w:hAnsi="Times New Roman" w:cs="Times New Roman"/>
          <w:sz w:val="24"/>
          <w:szCs w:val="24"/>
        </w:rPr>
      </w:pPr>
    </w:p>
    <w:p w14:paraId="1DB567AE" w14:textId="545D5D6D" w:rsidR="00A84A00" w:rsidRPr="00A84A00" w:rsidRDefault="00A84A00" w:rsidP="00A84A00">
      <w:pPr>
        <w:jc w:val="both"/>
        <w:rPr>
          <w:rFonts w:ascii="Times New Roman" w:hAnsi="Times New Roman" w:cs="Times New Roman"/>
          <w:sz w:val="24"/>
          <w:szCs w:val="24"/>
        </w:rPr>
      </w:pPr>
      <w:r w:rsidRPr="00A84A00">
        <w:rPr>
          <w:rFonts w:ascii="Times New Roman" w:hAnsi="Times New Roman" w:cs="Times New Roman"/>
          <w:b/>
          <w:bCs/>
          <w:sz w:val="28"/>
          <w:szCs w:val="28"/>
        </w:rPr>
        <w:lastRenderedPageBreak/>
        <w:t>RESEARCH OBJECTIVES</w:t>
      </w:r>
    </w:p>
    <w:p w14:paraId="535741CC" w14:textId="77777777" w:rsidR="00A84A00" w:rsidRPr="00A84A00" w:rsidRDefault="00A84A00" w:rsidP="00A84A00">
      <w:pPr>
        <w:jc w:val="both"/>
        <w:rPr>
          <w:rFonts w:ascii="Times New Roman" w:hAnsi="Times New Roman" w:cs="Times New Roman"/>
          <w:sz w:val="24"/>
          <w:szCs w:val="24"/>
        </w:rPr>
      </w:pPr>
      <w:r w:rsidRPr="00A84A00">
        <w:rPr>
          <w:rFonts w:ascii="Times New Roman" w:hAnsi="Times New Roman" w:cs="Times New Roman"/>
          <w:b/>
          <w:bCs/>
          <w:sz w:val="24"/>
          <w:szCs w:val="24"/>
        </w:rPr>
        <w:t>Primary Objective:</w:t>
      </w:r>
    </w:p>
    <w:p w14:paraId="558402CE" w14:textId="3F10BB34" w:rsidR="00A84A00" w:rsidRPr="00A84A00" w:rsidRDefault="00A84A00" w:rsidP="00A84A00">
      <w:pPr>
        <w:jc w:val="both"/>
        <w:rPr>
          <w:rFonts w:ascii="Times New Roman" w:hAnsi="Times New Roman" w:cs="Times New Roman"/>
          <w:sz w:val="24"/>
          <w:szCs w:val="24"/>
        </w:rPr>
      </w:pPr>
      <w:r w:rsidRPr="00A84A00">
        <w:rPr>
          <w:rFonts w:ascii="Times New Roman" w:hAnsi="Times New Roman" w:cs="Times New Roman"/>
          <w:sz w:val="24"/>
          <w:szCs w:val="24"/>
        </w:rPr>
        <w:t>To decompose</w:t>
      </w:r>
      <w:r w:rsidR="003B7C3E" w:rsidRPr="00645403">
        <w:rPr>
          <w:rFonts w:ascii="Times New Roman" w:hAnsi="Times New Roman" w:cs="Times New Roman"/>
          <w:sz w:val="24"/>
          <w:szCs w:val="24"/>
        </w:rPr>
        <w:t xml:space="preserve"> the</w:t>
      </w:r>
      <w:r w:rsidRPr="00A84A00">
        <w:rPr>
          <w:rFonts w:ascii="Times New Roman" w:hAnsi="Times New Roman" w:cs="Times New Roman"/>
          <w:sz w:val="24"/>
          <w:szCs w:val="24"/>
        </w:rPr>
        <w:t xml:space="preserve"> aggregate S&amp;P 500 returns into firm</w:t>
      </w:r>
      <w:r w:rsidR="003B7C3E" w:rsidRPr="00645403">
        <w:rPr>
          <w:rFonts w:ascii="Times New Roman" w:hAnsi="Times New Roman" w:cs="Times New Roman"/>
          <w:sz w:val="24"/>
          <w:szCs w:val="24"/>
        </w:rPr>
        <w:t xml:space="preserve"> </w:t>
      </w:r>
      <w:r w:rsidRPr="00A84A00">
        <w:rPr>
          <w:rFonts w:ascii="Times New Roman" w:hAnsi="Times New Roman" w:cs="Times New Roman"/>
          <w:sz w:val="24"/>
          <w:szCs w:val="24"/>
        </w:rPr>
        <w:t xml:space="preserve">specific contribution weights, </w:t>
      </w:r>
      <w:r w:rsidR="003B7C3E" w:rsidRPr="00645403">
        <w:rPr>
          <w:rFonts w:ascii="Times New Roman" w:hAnsi="Times New Roman" w:cs="Times New Roman"/>
          <w:sz w:val="24"/>
          <w:szCs w:val="24"/>
        </w:rPr>
        <w:t>and categorizing them</w:t>
      </w:r>
      <w:r w:rsidRPr="00A84A00">
        <w:rPr>
          <w:rFonts w:ascii="Times New Roman" w:hAnsi="Times New Roman" w:cs="Times New Roman"/>
          <w:sz w:val="24"/>
          <w:szCs w:val="24"/>
        </w:rPr>
        <w:t xml:space="preserve"> into Drivers, Supporters, and Laggards to </w:t>
      </w:r>
      <w:r w:rsidR="003B7C3E" w:rsidRPr="00645403">
        <w:rPr>
          <w:rFonts w:ascii="Times New Roman" w:hAnsi="Times New Roman" w:cs="Times New Roman"/>
          <w:sz w:val="24"/>
          <w:szCs w:val="24"/>
        </w:rPr>
        <w:t>understand</w:t>
      </w:r>
      <w:r w:rsidRPr="00A84A00">
        <w:rPr>
          <w:rFonts w:ascii="Times New Roman" w:hAnsi="Times New Roman" w:cs="Times New Roman"/>
          <w:sz w:val="24"/>
          <w:szCs w:val="24"/>
        </w:rPr>
        <w:t xml:space="preserve"> true market </w:t>
      </w:r>
      <w:r w:rsidR="003B7C3E" w:rsidRPr="00645403">
        <w:rPr>
          <w:rFonts w:ascii="Times New Roman" w:hAnsi="Times New Roman" w:cs="Times New Roman"/>
          <w:sz w:val="24"/>
          <w:szCs w:val="24"/>
        </w:rPr>
        <w:t>health</w:t>
      </w:r>
      <w:r w:rsidRPr="00A84A00">
        <w:rPr>
          <w:rFonts w:ascii="Times New Roman" w:hAnsi="Times New Roman" w:cs="Times New Roman"/>
          <w:sz w:val="24"/>
          <w:szCs w:val="24"/>
        </w:rPr>
        <w:t>.</w:t>
      </w:r>
    </w:p>
    <w:p w14:paraId="446C6E8E" w14:textId="77777777" w:rsidR="00A84A00" w:rsidRPr="00A84A00" w:rsidRDefault="00A84A00" w:rsidP="00A84A00">
      <w:pPr>
        <w:jc w:val="both"/>
        <w:rPr>
          <w:rFonts w:ascii="Times New Roman" w:hAnsi="Times New Roman" w:cs="Times New Roman"/>
          <w:sz w:val="24"/>
          <w:szCs w:val="24"/>
        </w:rPr>
      </w:pPr>
      <w:r w:rsidRPr="00A84A00">
        <w:rPr>
          <w:rFonts w:ascii="Times New Roman" w:hAnsi="Times New Roman" w:cs="Times New Roman"/>
          <w:b/>
          <w:bCs/>
          <w:sz w:val="24"/>
          <w:szCs w:val="24"/>
        </w:rPr>
        <w:t>Supporting Objectives:</w:t>
      </w:r>
    </w:p>
    <w:p w14:paraId="0EDA0FA3" w14:textId="63D66E41" w:rsidR="00A84A00" w:rsidRPr="00645403" w:rsidRDefault="00A84A00" w:rsidP="003B7C3E">
      <w:pPr>
        <w:pStyle w:val="ListParagraph"/>
        <w:numPr>
          <w:ilvl w:val="0"/>
          <w:numId w:val="5"/>
        </w:numPr>
        <w:jc w:val="both"/>
        <w:rPr>
          <w:rFonts w:ascii="Times New Roman" w:hAnsi="Times New Roman" w:cs="Times New Roman"/>
          <w:sz w:val="24"/>
          <w:szCs w:val="24"/>
        </w:rPr>
      </w:pPr>
      <w:r w:rsidRPr="00645403">
        <w:rPr>
          <w:rFonts w:ascii="Times New Roman" w:hAnsi="Times New Roman" w:cs="Times New Roman"/>
          <w:sz w:val="24"/>
          <w:szCs w:val="24"/>
        </w:rPr>
        <w:t>To analyze the real</w:t>
      </w:r>
      <w:r w:rsidR="003B7C3E" w:rsidRPr="00645403">
        <w:rPr>
          <w:rFonts w:ascii="Times New Roman" w:hAnsi="Times New Roman" w:cs="Times New Roman"/>
          <w:sz w:val="24"/>
          <w:szCs w:val="24"/>
        </w:rPr>
        <w:t xml:space="preserve"> </w:t>
      </w:r>
      <w:r w:rsidRPr="00645403">
        <w:rPr>
          <w:rFonts w:ascii="Times New Roman" w:hAnsi="Times New Roman" w:cs="Times New Roman"/>
          <w:sz w:val="24"/>
          <w:szCs w:val="24"/>
        </w:rPr>
        <w:t>time evolution of market concentration beyond static historical snapshots.</w:t>
      </w:r>
    </w:p>
    <w:p w14:paraId="5E968FB8" w14:textId="1FB39A6D" w:rsidR="00A84A00" w:rsidRPr="00645403" w:rsidRDefault="00A84A00" w:rsidP="003B7C3E">
      <w:pPr>
        <w:pStyle w:val="ListParagraph"/>
        <w:numPr>
          <w:ilvl w:val="0"/>
          <w:numId w:val="5"/>
        </w:numPr>
        <w:jc w:val="both"/>
        <w:rPr>
          <w:rFonts w:ascii="Times New Roman" w:hAnsi="Times New Roman" w:cs="Times New Roman"/>
          <w:sz w:val="24"/>
          <w:szCs w:val="24"/>
        </w:rPr>
      </w:pPr>
      <w:r w:rsidRPr="00645403">
        <w:rPr>
          <w:rFonts w:ascii="Times New Roman" w:hAnsi="Times New Roman" w:cs="Times New Roman"/>
          <w:sz w:val="24"/>
          <w:szCs w:val="24"/>
        </w:rPr>
        <w:t>To cross</w:t>
      </w:r>
      <w:r w:rsidR="003B7C3E" w:rsidRPr="00645403">
        <w:rPr>
          <w:rFonts w:ascii="Times New Roman" w:hAnsi="Times New Roman" w:cs="Times New Roman"/>
          <w:sz w:val="24"/>
          <w:szCs w:val="24"/>
        </w:rPr>
        <w:t xml:space="preserve"> </w:t>
      </w:r>
      <w:r w:rsidRPr="00645403">
        <w:rPr>
          <w:rFonts w:ascii="Times New Roman" w:hAnsi="Times New Roman" w:cs="Times New Roman"/>
          <w:sz w:val="24"/>
          <w:szCs w:val="24"/>
        </w:rPr>
        <w:t>reference firm</w:t>
      </w:r>
      <w:r w:rsidR="003B7C3E" w:rsidRPr="00645403">
        <w:rPr>
          <w:rFonts w:ascii="Times New Roman" w:hAnsi="Times New Roman" w:cs="Times New Roman"/>
          <w:sz w:val="24"/>
          <w:szCs w:val="24"/>
        </w:rPr>
        <w:t xml:space="preserve"> </w:t>
      </w:r>
      <w:r w:rsidRPr="00645403">
        <w:rPr>
          <w:rFonts w:ascii="Times New Roman" w:hAnsi="Times New Roman" w:cs="Times New Roman"/>
          <w:sz w:val="24"/>
          <w:szCs w:val="24"/>
        </w:rPr>
        <w:t>level participation</w:t>
      </w:r>
      <w:r w:rsidR="003B7C3E" w:rsidRPr="00645403">
        <w:rPr>
          <w:rFonts w:ascii="Times New Roman" w:hAnsi="Times New Roman" w:cs="Times New Roman"/>
          <w:sz w:val="24"/>
          <w:szCs w:val="24"/>
        </w:rPr>
        <w:t xml:space="preserve"> </w:t>
      </w:r>
      <w:r w:rsidRPr="00645403">
        <w:rPr>
          <w:rFonts w:ascii="Times New Roman" w:hAnsi="Times New Roman" w:cs="Times New Roman"/>
          <w:sz w:val="24"/>
          <w:szCs w:val="24"/>
        </w:rPr>
        <w:t xml:space="preserve">against </w:t>
      </w:r>
      <w:r w:rsidR="003B7C3E" w:rsidRPr="00645403">
        <w:rPr>
          <w:rFonts w:ascii="Times New Roman" w:hAnsi="Times New Roman" w:cs="Times New Roman"/>
          <w:sz w:val="24"/>
          <w:szCs w:val="24"/>
        </w:rPr>
        <w:t xml:space="preserve">the </w:t>
      </w:r>
      <w:r w:rsidRPr="00645403">
        <w:rPr>
          <w:rFonts w:ascii="Times New Roman" w:hAnsi="Times New Roman" w:cs="Times New Roman"/>
          <w:sz w:val="24"/>
          <w:szCs w:val="24"/>
        </w:rPr>
        <w:t>macroeconomic fear indicators (</w:t>
      </w:r>
      <w:r w:rsidR="003B7C3E" w:rsidRPr="00645403">
        <w:rPr>
          <w:rFonts w:ascii="Times New Roman" w:hAnsi="Times New Roman" w:cs="Times New Roman"/>
          <w:sz w:val="24"/>
          <w:szCs w:val="24"/>
        </w:rPr>
        <w:t xml:space="preserve">like </w:t>
      </w:r>
      <w:r w:rsidRPr="00645403">
        <w:rPr>
          <w:rFonts w:ascii="Times New Roman" w:hAnsi="Times New Roman" w:cs="Times New Roman"/>
          <w:sz w:val="24"/>
          <w:szCs w:val="24"/>
        </w:rPr>
        <w:t xml:space="preserve">the </w:t>
      </w:r>
      <w:r w:rsidR="003B7C3E" w:rsidRPr="00645403">
        <w:rPr>
          <w:rFonts w:ascii="Times New Roman" w:hAnsi="Times New Roman" w:cs="Times New Roman"/>
          <w:sz w:val="24"/>
          <w:szCs w:val="24"/>
        </w:rPr>
        <w:t>VIX index</w:t>
      </w:r>
      <w:r w:rsidRPr="00645403">
        <w:rPr>
          <w:rFonts w:ascii="Times New Roman" w:hAnsi="Times New Roman" w:cs="Times New Roman"/>
          <w:sz w:val="24"/>
          <w:szCs w:val="24"/>
        </w:rPr>
        <w:t>).</w:t>
      </w:r>
    </w:p>
    <w:p w14:paraId="511465D4" w14:textId="58BB9D2B" w:rsidR="00A84A00" w:rsidRPr="00645403" w:rsidRDefault="00A84A00" w:rsidP="003B7C3E">
      <w:pPr>
        <w:pStyle w:val="ListParagraph"/>
        <w:numPr>
          <w:ilvl w:val="0"/>
          <w:numId w:val="5"/>
        </w:numPr>
        <w:jc w:val="both"/>
        <w:rPr>
          <w:rFonts w:ascii="Times New Roman" w:hAnsi="Times New Roman" w:cs="Times New Roman"/>
          <w:sz w:val="24"/>
          <w:szCs w:val="24"/>
        </w:rPr>
      </w:pPr>
      <w:r w:rsidRPr="00645403">
        <w:rPr>
          <w:rFonts w:ascii="Times New Roman" w:hAnsi="Times New Roman" w:cs="Times New Roman"/>
          <w:sz w:val="24"/>
          <w:szCs w:val="24"/>
        </w:rPr>
        <w:t xml:space="preserve">To </w:t>
      </w:r>
      <w:r w:rsidR="003B7C3E" w:rsidRPr="00645403">
        <w:rPr>
          <w:rFonts w:ascii="Times New Roman" w:hAnsi="Times New Roman" w:cs="Times New Roman"/>
          <w:sz w:val="24"/>
          <w:szCs w:val="24"/>
        </w:rPr>
        <w:t>create</w:t>
      </w:r>
      <w:r w:rsidRPr="00645403">
        <w:rPr>
          <w:rFonts w:ascii="Times New Roman" w:hAnsi="Times New Roman" w:cs="Times New Roman"/>
          <w:sz w:val="24"/>
          <w:szCs w:val="24"/>
        </w:rPr>
        <w:t xml:space="preserve"> a pipeline that diagnoses market fragility during high</w:t>
      </w:r>
      <w:r w:rsidR="003B7C3E" w:rsidRPr="00645403">
        <w:rPr>
          <w:rFonts w:ascii="Times New Roman" w:hAnsi="Times New Roman" w:cs="Times New Roman"/>
          <w:sz w:val="24"/>
          <w:szCs w:val="24"/>
        </w:rPr>
        <w:t xml:space="preserve"> </w:t>
      </w:r>
      <w:r w:rsidRPr="00645403">
        <w:rPr>
          <w:rFonts w:ascii="Times New Roman" w:hAnsi="Times New Roman" w:cs="Times New Roman"/>
          <w:sz w:val="24"/>
          <w:szCs w:val="24"/>
        </w:rPr>
        <w:t>stress economic regimes.</w:t>
      </w:r>
    </w:p>
    <w:p w14:paraId="61D893BD" w14:textId="77777777" w:rsidR="00A84A00" w:rsidRPr="00645403" w:rsidRDefault="00A84A00" w:rsidP="00A84A00">
      <w:pPr>
        <w:jc w:val="both"/>
        <w:rPr>
          <w:rFonts w:ascii="Times New Roman" w:hAnsi="Times New Roman" w:cs="Times New Roman"/>
          <w:b/>
          <w:bCs/>
          <w:sz w:val="28"/>
          <w:szCs w:val="28"/>
        </w:rPr>
      </w:pPr>
    </w:p>
    <w:p w14:paraId="169343A5" w14:textId="5A073712" w:rsidR="00A84A00" w:rsidRPr="00A84A00" w:rsidRDefault="00A84A00" w:rsidP="00A84A00">
      <w:pPr>
        <w:jc w:val="both"/>
        <w:rPr>
          <w:rFonts w:ascii="Times New Roman" w:hAnsi="Times New Roman" w:cs="Times New Roman"/>
          <w:b/>
          <w:bCs/>
          <w:sz w:val="28"/>
          <w:szCs w:val="28"/>
        </w:rPr>
      </w:pPr>
      <w:r w:rsidRPr="00A84A00">
        <w:rPr>
          <w:rFonts w:ascii="Times New Roman" w:hAnsi="Times New Roman" w:cs="Times New Roman"/>
          <w:b/>
          <w:bCs/>
          <w:sz w:val="28"/>
          <w:szCs w:val="28"/>
        </w:rPr>
        <w:t>LITERATURE REVIEW</w:t>
      </w:r>
    </w:p>
    <w:p w14:paraId="2A96CB50" w14:textId="63179668" w:rsidR="00A84A00" w:rsidRPr="00A84A00" w:rsidRDefault="00A84A00" w:rsidP="00A84A00">
      <w:pPr>
        <w:jc w:val="both"/>
        <w:rPr>
          <w:rFonts w:ascii="Times New Roman" w:hAnsi="Times New Roman" w:cs="Times New Roman"/>
          <w:sz w:val="24"/>
          <w:szCs w:val="24"/>
        </w:rPr>
      </w:pPr>
      <w:r w:rsidRPr="00A84A00">
        <w:rPr>
          <w:rFonts w:ascii="Times New Roman" w:hAnsi="Times New Roman" w:cs="Times New Roman"/>
          <w:sz w:val="24"/>
          <w:szCs w:val="24"/>
        </w:rPr>
        <w:t xml:space="preserve">To properly contextualize this research, it is </w:t>
      </w:r>
      <w:r w:rsidR="003B7C3E" w:rsidRPr="00645403">
        <w:rPr>
          <w:rFonts w:ascii="Times New Roman" w:hAnsi="Times New Roman" w:cs="Times New Roman"/>
          <w:sz w:val="24"/>
          <w:szCs w:val="24"/>
        </w:rPr>
        <w:t>important</w:t>
      </w:r>
      <w:r w:rsidRPr="00A84A00">
        <w:rPr>
          <w:rFonts w:ascii="Times New Roman" w:hAnsi="Times New Roman" w:cs="Times New Roman"/>
          <w:sz w:val="24"/>
          <w:szCs w:val="24"/>
        </w:rPr>
        <w:t xml:space="preserve"> to examine the current academic and institutional debate surrounding market concentration. The existing literature is fundamentally divided between those forecasting severe long-term market drags and those proving mathematically that top-heavy markets are a historically standard phenomenon.</w:t>
      </w:r>
    </w:p>
    <w:p w14:paraId="760282A4" w14:textId="77777777" w:rsidR="00A84A00" w:rsidRPr="00A84A00" w:rsidRDefault="00A84A00" w:rsidP="00A84A00">
      <w:pPr>
        <w:jc w:val="both"/>
        <w:rPr>
          <w:rFonts w:ascii="Times New Roman" w:hAnsi="Times New Roman" w:cs="Times New Roman"/>
          <w:sz w:val="24"/>
          <w:szCs w:val="24"/>
        </w:rPr>
      </w:pPr>
      <w:r w:rsidRPr="00A84A00">
        <w:rPr>
          <w:rFonts w:ascii="Times New Roman" w:hAnsi="Times New Roman" w:cs="Times New Roman"/>
          <w:sz w:val="24"/>
          <w:szCs w:val="24"/>
        </w:rPr>
        <w:t>Institutional research conducted by Kostin (2024) for Goldman Sachs Global Macro Research highlights the inherent dangers of extreme market concentration, positing that it functions as a definitive drag on long-term aggregate returns. This phenomenon, coined the "Concentration Tax," was evaluated using massive historical databases, including Compustat and the Center for Research in Security Prices, analyzing decades of daily market capitalization records. By employing a Long-Run Return Forecasting Model, the study predicts 10-year annualized returns using a multi-variable framework that includes valuation, profitability, and market concentration. The findings isolate concentration as a distinct drag variable; while the S&amp;P 500 historically returns 11% annually, the model forecasts a severe drop to 3% annualized returns over the next decade. However, this methodology remains inherently macro-focused, forecasting a 10-year aggregate return rather than providing a continuous, short-term taxonomy of individual firm behaviors.</w:t>
      </w:r>
    </w:p>
    <w:p w14:paraId="595AD1D3" w14:textId="77777777" w:rsidR="00A84A00" w:rsidRPr="00A84A00" w:rsidRDefault="00A84A00" w:rsidP="00A84A00">
      <w:pPr>
        <w:jc w:val="both"/>
        <w:rPr>
          <w:rFonts w:ascii="Times New Roman" w:hAnsi="Times New Roman" w:cs="Times New Roman"/>
          <w:sz w:val="24"/>
          <w:szCs w:val="24"/>
        </w:rPr>
      </w:pPr>
      <w:r w:rsidRPr="00A84A00">
        <w:rPr>
          <w:rFonts w:ascii="Times New Roman" w:hAnsi="Times New Roman" w:cs="Times New Roman"/>
          <w:sz w:val="24"/>
          <w:szCs w:val="24"/>
        </w:rPr>
        <w:t>Further expanding on the catalyst for current market concentration, researchers Nagle and Yue (2025) at MIT Sloan and the Georgia Institute of Technology investigated the massive capital expenditure surrounding Artificial Intelligence. By sourcing daily token usage and pricing data from OpenRouter, the researchers cross-referenced pricing with AI benchmarking scores. Utilizing a counterfactual simulation and rigorous usage regressions, the study found that open-source models are significantly cheaper than closed models while achieving near-frontier performance. Despite this, closed models still irrationally capture the vast majority of usage and revenue. This brand loyalty artificially props up massive proprietary tech valuations, creating a potential valuation bubble that drives S&amp;P 500 concentration. Despite these insights, the paper focuses strictly on the micro-economics of the AI token market and does not model how this valuation fragility maps onto the broader S&amp;P 500 participation structure.</w:t>
      </w:r>
    </w:p>
    <w:p w14:paraId="0C307C6C" w14:textId="77777777" w:rsidR="00A84A00" w:rsidRPr="00A84A00" w:rsidRDefault="00A84A00" w:rsidP="00A84A00">
      <w:pPr>
        <w:jc w:val="both"/>
        <w:rPr>
          <w:rFonts w:ascii="Times New Roman" w:hAnsi="Times New Roman" w:cs="Times New Roman"/>
          <w:sz w:val="24"/>
          <w:szCs w:val="24"/>
        </w:rPr>
      </w:pPr>
      <w:r w:rsidRPr="00A84A00">
        <w:rPr>
          <w:rFonts w:ascii="Times New Roman" w:hAnsi="Times New Roman" w:cs="Times New Roman"/>
          <w:sz w:val="24"/>
          <w:szCs w:val="24"/>
        </w:rPr>
        <w:lastRenderedPageBreak/>
        <w:t>Challenging the narrative that concentration strictly portends a market crash, research published by Kritzman and Turkington (2025) argues that market concentration does not inherently beget market risk. Instead of standard market-cap weighting, the study employed the "Effective Number of Stocks" metric to precisely quantify concentration. Through dynamic trading simulations that algorithmically back-tested portfolios, the authors mathematically proved that investors who reduce equity exposure during top-heavy markets reliably underperform standard buy-and-hold strategies. While this proves that aggregate concentration does not guarantee a crash, the proposed solution simply relies on historical resilience rather than actively mapping which specific stocks are currently failing beneath the surface.</w:t>
      </w:r>
    </w:p>
    <w:p w14:paraId="3B21FCDF" w14:textId="77777777" w:rsidR="00A84A00" w:rsidRPr="00A84A00" w:rsidRDefault="00A84A00" w:rsidP="00A84A00">
      <w:pPr>
        <w:jc w:val="both"/>
        <w:rPr>
          <w:rFonts w:ascii="Times New Roman" w:hAnsi="Times New Roman" w:cs="Times New Roman"/>
          <w:sz w:val="24"/>
          <w:szCs w:val="24"/>
        </w:rPr>
      </w:pPr>
      <w:r w:rsidRPr="00A84A00">
        <w:rPr>
          <w:rFonts w:ascii="Times New Roman" w:hAnsi="Times New Roman" w:cs="Times New Roman"/>
          <w:sz w:val="24"/>
          <w:szCs w:val="24"/>
        </w:rPr>
        <w:t>Providing a macro-historical perspective, research by Bye, Kvaerner, and Werker (2026) zooms out to a 100-year horizon, positing that current concentration levels are a mathematically standard feature of equity markets. Leveraging nearly a century of US stock data alongside modern international equity data, the researchers deployed a Geometric Brownian Motion diffusion model. By running 50-year stochastic simulations of completely homogeneous firms subject only to idiosyncratic volatility, the simulations generated a market where a minute fraction of firms accounted for one-third of the total value entirely by mathematical chance. While this study successfully models 100-year cyclicality, it provides no framework for an investor to evaluate the real-time, daily participation structure of the index today.</w:t>
      </w:r>
    </w:p>
    <w:p w14:paraId="7E8AB4FD" w14:textId="77777777" w:rsidR="00A84A00" w:rsidRPr="00645403" w:rsidRDefault="00A84A00" w:rsidP="00A84A00">
      <w:pPr>
        <w:jc w:val="both"/>
        <w:rPr>
          <w:rFonts w:ascii="Times New Roman" w:hAnsi="Times New Roman" w:cs="Times New Roman"/>
          <w:b/>
          <w:bCs/>
          <w:sz w:val="28"/>
          <w:szCs w:val="28"/>
        </w:rPr>
      </w:pPr>
    </w:p>
    <w:p w14:paraId="21EED559" w14:textId="4CA8B092" w:rsidR="00A84A00" w:rsidRPr="00A84A00" w:rsidRDefault="00A84A00" w:rsidP="00A84A00">
      <w:pPr>
        <w:jc w:val="both"/>
        <w:rPr>
          <w:rFonts w:ascii="Times New Roman" w:hAnsi="Times New Roman" w:cs="Times New Roman"/>
          <w:b/>
          <w:bCs/>
          <w:sz w:val="28"/>
          <w:szCs w:val="28"/>
        </w:rPr>
      </w:pPr>
      <w:r w:rsidRPr="00A84A00">
        <w:rPr>
          <w:rFonts w:ascii="Times New Roman" w:hAnsi="Times New Roman" w:cs="Times New Roman"/>
          <w:b/>
          <w:bCs/>
          <w:sz w:val="28"/>
          <w:szCs w:val="28"/>
        </w:rPr>
        <w:t>RESEARCH GAP</w:t>
      </w:r>
    </w:p>
    <w:p w14:paraId="1ADDABDA" w14:textId="565F9341" w:rsidR="00A84A00" w:rsidRPr="00645403" w:rsidRDefault="003B7C3E" w:rsidP="00A84A00">
      <w:pPr>
        <w:jc w:val="both"/>
        <w:rPr>
          <w:rFonts w:ascii="Times New Roman" w:hAnsi="Times New Roman" w:cs="Times New Roman"/>
          <w:sz w:val="24"/>
          <w:szCs w:val="24"/>
        </w:rPr>
      </w:pPr>
      <w:r w:rsidRPr="00645403">
        <w:rPr>
          <w:rFonts w:ascii="Times New Roman" w:hAnsi="Times New Roman" w:cs="Times New Roman"/>
          <w:sz w:val="24"/>
          <w:szCs w:val="24"/>
        </w:rPr>
        <w:t>While previous studies have extensively analyzed the long-run effects of market concentration, the internal market dynamics still seem unclear. The current research is heavily dependent on static historical analyses, multi-decade aggregate forecasting, and isolated sector valuations. Therefore, the current research has created a crucial gap in the development of a dynamic, real-time model that is capable of mathematically breaking down these aggregate returns. The need of the hour is the development of an algorithmic framework that moves beyond the monolith index scores and specifically identifies the drivers and laggards, as well as the changes in these specific roles under different macroeconomic stress regimes.</w:t>
      </w:r>
    </w:p>
    <w:p w14:paraId="597F831F" w14:textId="77777777" w:rsidR="003B7C3E" w:rsidRPr="00645403" w:rsidRDefault="003B7C3E" w:rsidP="00A84A00">
      <w:pPr>
        <w:jc w:val="both"/>
        <w:rPr>
          <w:rFonts w:ascii="Times New Roman" w:hAnsi="Times New Roman" w:cs="Times New Roman"/>
          <w:b/>
          <w:bCs/>
          <w:sz w:val="28"/>
          <w:szCs w:val="28"/>
        </w:rPr>
      </w:pPr>
    </w:p>
    <w:p w14:paraId="37AE4B7A" w14:textId="0E80F2D0" w:rsidR="00A84A00" w:rsidRPr="00A84A00" w:rsidRDefault="003C6929" w:rsidP="00A84A00">
      <w:pPr>
        <w:jc w:val="both"/>
        <w:rPr>
          <w:rFonts w:ascii="Times New Roman" w:hAnsi="Times New Roman" w:cs="Times New Roman"/>
          <w:b/>
          <w:bCs/>
          <w:sz w:val="28"/>
          <w:szCs w:val="28"/>
        </w:rPr>
      </w:pPr>
      <w:r w:rsidRPr="00645403">
        <w:rPr>
          <w:rFonts w:ascii="Times New Roman" w:hAnsi="Times New Roman" w:cs="Times New Roman"/>
          <w:b/>
          <w:bCs/>
          <w:sz w:val="28"/>
          <w:szCs w:val="28"/>
        </w:rPr>
        <w:t>METHODOLOGY</w:t>
      </w:r>
    </w:p>
    <w:p w14:paraId="34926C06" w14:textId="2AE345CA" w:rsidR="00A84A00" w:rsidRPr="00A84A00" w:rsidRDefault="00A84A00" w:rsidP="00A84A00">
      <w:pPr>
        <w:jc w:val="both"/>
        <w:rPr>
          <w:rFonts w:ascii="Times New Roman" w:hAnsi="Times New Roman" w:cs="Times New Roman"/>
          <w:sz w:val="24"/>
          <w:szCs w:val="24"/>
        </w:rPr>
      </w:pPr>
      <w:r w:rsidRPr="00A84A00">
        <w:rPr>
          <w:rFonts w:ascii="Times New Roman" w:hAnsi="Times New Roman" w:cs="Times New Roman"/>
          <w:sz w:val="24"/>
          <w:szCs w:val="24"/>
        </w:rPr>
        <w:t>To address the identified research gap, this study proposes a continuous, real</w:t>
      </w:r>
      <w:r w:rsidR="003B7C3E" w:rsidRPr="00645403">
        <w:rPr>
          <w:rFonts w:ascii="Times New Roman" w:hAnsi="Times New Roman" w:cs="Times New Roman"/>
          <w:sz w:val="24"/>
          <w:szCs w:val="24"/>
        </w:rPr>
        <w:t xml:space="preserve"> </w:t>
      </w:r>
      <w:r w:rsidRPr="00A84A00">
        <w:rPr>
          <w:rFonts w:ascii="Times New Roman" w:hAnsi="Times New Roman" w:cs="Times New Roman"/>
          <w:sz w:val="24"/>
          <w:szCs w:val="24"/>
        </w:rPr>
        <w:t>time programmatic pipeline to evaluate S&amp;P 500 market breadth. The implementation utilizes Python (</w:t>
      </w:r>
      <w:r w:rsidR="003C6929" w:rsidRPr="00645403">
        <w:rPr>
          <w:rFonts w:ascii="Times New Roman" w:hAnsi="Times New Roman" w:cs="Times New Roman"/>
          <w:sz w:val="24"/>
          <w:szCs w:val="24"/>
        </w:rPr>
        <w:t>pandas</w:t>
      </w:r>
      <w:r w:rsidRPr="00A84A00">
        <w:rPr>
          <w:rFonts w:ascii="Times New Roman" w:hAnsi="Times New Roman" w:cs="Times New Roman"/>
          <w:sz w:val="24"/>
          <w:szCs w:val="24"/>
        </w:rPr>
        <w:t>) to execute a three</w:t>
      </w:r>
      <w:r w:rsidR="003C6929" w:rsidRPr="00645403">
        <w:rPr>
          <w:rFonts w:ascii="Times New Roman" w:hAnsi="Times New Roman" w:cs="Times New Roman"/>
          <w:sz w:val="24"/>
          <w:szCs w:val="24"/>
        </w:rPr>
        <w:t xml:space="preserve"> </w:t>
      </w:r>
      <w:r w:rsidRPr="00A84A00">
        <w:rPr>
          <w:rFonts w:ascii="Times New Roman" w:hAnsi="Times New Roman" w:cs="Times New Roman"/>
          <w:sz w:val="24"/>
          <w:szCs w:val="24"/>
        </w:rPr>
        <w:t>step analytical workflow.</w:t>
      </w:r>
    </w:p>
    <w:p w14:paraId="704700D0" w14:textId="12224312" w:rsidR="00A84A00" w:rsidRPr="00645403" w:rsidRDefault="00A84A00" w:rsidP="00A84A00">
      <w:pPr>
        <w:jc w:val="both"/>
        <w:rPr>
          <w:rFonts w:ascii="Times New Roman" w:hAnsi="Times New Roman" w:cs="Times New Roman"/>
          <w:sz w:val="24"/>
          <w:szCs w:val="24"/>
        </w:rPr>
      </w:pPr>
      <w:r w:rsidRPr="00A84A00">
        <w:rPr>
          <w:rFonts w:ascii="Times New Roman" w:hAnsi="Times New Roman" w:cs="Times New Roman"/>
          <w:sz w:val="24"/>
          <w:szCs w:val="24"/>
        </w:rPr>
        <w:t>The study will rely on firm-level constituent data to provide daily historical prices, index weights, and sector designations. This will be evaluated alongside aggregate benchmark data to verify mathematical outputs against total market variance. Finally, the CBOE Volatility Index time-series data will be fetched programmatically to establish macroeconomic fear regimes.</w:t>
      </w:r>
    </w:p>
    <w:p w14:paraId="6FC9BE25" w14:textId="77777777" w:rsidR="007507A6" w:rsidRPr="00645403" w:rsidRDefault="007507A6" w:rsidP="00A84A00">
      <w:pPr>
        <w:jc w:val="both"/>
        <w:rPr>
          <w:rFonts w:ascii="Times New Roman" w:hAnsi="Times New Roman" w:cs="Times New Roman"/>
          <w:sz w:val="24"/>
          <w:szCs w:val="24"/>
        </w:rPr>
      </w:pPr>
    </w:p>
    <w:p w14:paraId="2702BD37" w14:textId="77777777" w:rsidR="007507A6" w:rsidRPr="00A84A00" w:rsidRDefault="007507A6" w:rsidP="00A84A00">
      <w:pPr>
        <w:jc w:val="both"/>
        <w:rPr>
          <w:rFonts w:ascii="Times New Roman" w:hAnsi="Times New Roman" w:cs="Times New Roman"/>
          <w:sz w:val="24"/>
          <w:szCs w:val="24"/>
        </w:rPr>
      </w:pPr>
    </w:p>
    <w:p w14:paraId="6EF71535" w14:textId="3C981100" w:rsidR="00A84A00" w:rsidRPr="00A84A00" w:rsidRDefault="00A84A00" w:rsidP="00A84A00">
      <w:pPr>
        <w:jc w:val="both"/>
        <w:rPr>
          <w:rFonts w:ascii="Times New Roman" w:hAnsi="Times New Roman" w:cs="Times New Roman"/>
          <w:sz w:val="24"/>
          <w:szCs w:val="24"/>
        </w:rPr>
      </w:pPr>
      <w:r w:rsidRPr="00A84A00">
        <w:rPr>
          <w:rFonts w:ascii="Times New Roman" w:hAnsi="Times New Roman" w:cs="Times New Roman"/>
          <w:sz w:val="24"/>
          <w:szCs w:val="24"/>
        </w:rPr>
        <w:lastRenderedPageBreak/>
        <w:t>The implementation is executed in three phases:</w:t>
      </w:r>
    </w:p>
    <w:p w14:paraId="17F596F4" w14:textId="77777777" w:rsidR="00A84A00" w:rsidRPr="00A84A00" w:rsidRDefault="00A84A00" w:rsidP="00A84A00">
      <w:pPr>
        <w:numPr>
          <w:ilvl w:val="0"/>
          <w:numId w:val="3"/>
        </w:numPr>
        <w:jc w:val="both"/>
        <w:rPr>
          <w:rFonts w:ascii="Times New Roman" w:hAnsi="Times New Roman" w:cs="Times New Roman"/>
          <w:sz w:val="24"/>
          <w:szCs w:val="24"/>
        </w:rPr>
      </w:pPr>
      <w:r w:rsidRPr="00A84A00">
        <w:rPr>
          <w:rFonts w:ascii="Times New Roman" w:hAnsi="Times New Roman" w:cs="Times New Roman"/>
          <w:b/>
          <w:bCs/>
          <w:sz w:val="24"/>
          <w:szCs w:val="24"/>
        </w:rPr>
        <w:t>Data Aggregation:</w:t>
      </w:r>
      <w:r w:rsidRPr="00A84A00">
        <w:rPr>
          <w:rFonts w:ascii="Times New Roman" w:hAnsi="Times New Roman" w:cs="Times New Roman"/>
          <w:sz w:val="24"/>
          <w:szCs w:val="24"/>
        </w:rPr>
        <w:t xml:space="preserve"> Firm-level prices will be joined with market metadata and aggregate index data to ensure strict temporal synchronization.</w:t>
      </w:r>
    </w:p>
    <w:p w14:paraId="43ACDC7E" w14:textId="77777777" w:rsidR="00A84A00" w:rsidRPr="00A84A00" w:rsidRDefault="00A84A00" w:rsidP="00A84A00">
      <w:pPr>
        <w:numPr>
          <w:ilvl w:val="0"/>
          <w:numId w:val="3"/>
        </w:numPr>
        <w:jc w:val="both"/>
        <w:rPr>
          <w:rFonts w:ascii="Times New Roman" w:hAnsi="Times New Roman" w:cs="Times New Roman"/>
          <w:sz w:val="24"/>
          <w:szCs w:val="24"/>
        </w:rPr>
      </w:pPr>
      <w:r w:rsidRPr="00A84A00">
        <w:rPr>
          <w:rFonts w:ascii="Times New Roman" w:hAnsi="Times New Roman" w:cs="Times New Roman"/>
          <w:b/>
          <w:bCs/>
          <w:sz w:val="24"/>
          <w:szCs w:val="24"/>
        </w:rPr>
        <w:t>Return Decomposition:</w:t>
      </w:r>
      <w:r w:rsidRPr="00A84A00">
        <w:rPr>
          <w:rFonts w:ascii="Times New Roman" w:hAnsi="Times New Roman" w:cs="Times New Roman"/>
          <w:sz w:val="24"/>
          <w:szCs w:val="24"/>
        </w:rPr>
        <w:t xml:space="preserve"> A continuous mathematical algorithm will calculate individual firm contribution weights, dynamically categorizing all 500 constituents into discrete groups: Drivers, Supporters, and Laggards.</w:t>
      </w:r>
    </w:p>
    <w:p w14:paraId="59939D0C" w14:textId="04375361" w:rsidR="00A84A00" w:rsidRPr="00A84A00" w:rsidRDefault="00A84A00" w:rsidP="00A84A00">
      <w:pPr>
        <w:numPr>
          <w:ilvl w:val="0"/>
          <w:numId w:val="3"/>
        </w:numPr>
        <w:jc w:val="both"/>
        <w:rPr>
          <w:rFonts w:ascii="Times New Roman" w:hAnsi="Times New Roman" w:cs="Times New Roman"/>
          <w:sz w:val="24"/>
          <w:szCs w:val="24"/>
        </w:rPr>
      </w:pPr>
      <w:r w:rsidRPr="00A84A00">
        <w:rPr>
          <w:rFonts w:ascii="Times New Roman" w:hAnsi="Times New Roman" w:cs="Times New Roman"/>
          <w:b/>
          <w:bCs/>
          <w:sz w:val="24"/>
          <w:szCs w:val="24"/>
        </w:rPr>
        <w:t>Temporal Regime Mapping:</w:t>
      </w:r>
      <w:r w:rsidRPr="00A84A00">
        <w:rPr>
          <w:rFonts w:ascii="Times New Roman" w:hAnsi="Times New Roman" w:cs="Times New Roman"/>
          <w:sz w:val="24"/>
          <w:szCs w:val="24"/>
        </w:rPr>
        <w:t xml:space="preserve"> Th</w:t>
      </w:r>
      <w:r w:rsidR="003B7C3E" w:rsidRPr="00645403">
        <w:rPr>
          <w:rFonts w:ascii="Times New Roman" w:hAnsi="Times New Roman" w:cs="Times New Roman"/>
          <w:sz w:val="24"/>
          <w:szCs w:val="24"/>
        </w:rPr>
        <w:t>is</w:t>
      </w:r>
      <w:r w:rsidRPr="00A84A00">
        <w:rPr>
          <w:rFonts w:ascii="Times New Roman" w:hAnsi="Times New Roman" w:cs="Times New Roman"/>
          <w:sz w:val="24"/>
          <w:szCs w:val="24"/>
        </w:rPr>
        <w:t xml:space="preserve"> daily participation </w:t>
      </w:r>
      <w:r w:rsidR="003B7C3E" w:rsidRPr="00645403">
        <w:rPr>
          <w:rFonts w:ascii="Times New Roman" w:hAnsi="Times New Roman" w:cs="Times New Roman"/>
          <w:sz w:val="24"/>
          <w:szCs w:val="24"/>
        </w:rPr>
        <w:t xml:space="preserve">data </w:t>
      </w:r>
      <w:r w:rsidRPr="00A84A00">
        <w:rPr>
          <w:rFonts w:ascii="Times New Roman" w:hAnsi="Times New Roman" w:cs="Times New Roman"/>
          <w:sz w:val="24"/>
          <w:szCs w:val="24"/>
        </w:rPr>
        <w:t>will be cross-referenced against the VIX volatility index to isolate how extreme concentration shifts when the macroeconomic environment transitions from periods of low-volatility stability to high-fear panic.</w:t>
      </w:r>
    </w:p>
    <w:p w14:paraId="0C025419" w14:textId="77777777" w:rsidR="00A84A00" w:rsidRPr="00645403" w:rsidRDefault="00A84A00" w:rsidP="00A84A00">
      <w:pPr>
        <w:jc w:val="both"/>
        <w:rPr>
          <w:rFonts w:ascii="Times New Roman" w:hAnsi="Times New Roman" w:cs="Times New Roman"/>
          <w:b/>
          <w:bCs/>
          <w:sz w:val="28"/>
          <w:szCs w:val="28"/>
        </w:rPr>
      </w:pPr>
    </w:p>
    <w:p w14:paraId="3E5584A8" w14:textId="2BD464B9" w:rsidR="00A84A00" w:rsidRPr="00645403" w:rsidRDefault="00A84A00" w:rsidP="00A84A00">
      <w:pPr>
        <w:jc w:val="both"/>
        <w:rPr>
          <w:rFonts w:ascii="Times New Roman" w:hAnsi="Times New Roman" w:cs="Times New Roman"/>
          <w:b/>
          <w:bCs/>
          <w:sz w:val="28"/>
          <w:szCs w:val="28"/>
        </w:rPr>
      </w:pPr>
      <w:r w:rsidRPr="00645403">
        <w:rPr>
          <w:rFonts w:ascii="Times New Roman" w:hAnsi="Times New Roman" w:cs="Times New Roman"/>
          <w:b/>
          <w:bCs/>
          <w:sz w:val="28"/>
          <w:szCs w:val="28"/>
        </w:rPr>
        <w:t>TIMELINE</w:t>
      </w:r>
    </w:p>
    <w:p w14:paraId="4004CEA0" w14:textId="77777777" w:rsidR="00A84A00" w:rsidRPr="00A84A00" w:rsidRDefault="00A84A00" w:rsidP="00A84A00">
      <w:pPr>
        <w:jc w:val="both"/>
        <w:rPr>
          <w:rFonts w:ascii="Times New Roman" w:hAnsi="Times New Roman" w:cs="Times New Roman"/>
          <w:sz w:val="24"/>
          <w:szCs w:val="24"/>
        </w:rPr>
      </w:pPr>
      <w:r w:rsidRPr="00A84A00">
        <w:rPr>
          <w:rFonts w:ascii="Times New Roman" w:hAnsi="Times New Roman" w:cs="Times New Roman"/>
          <w:b/>
          <w:bCs/>
          <w:sz w:val="24"/>
          <w:szCs w:val="24"/>
          <w:lang w:val="en-US"/>
        </w:rPr>
        <w:t>Feb 15 – Mar 10:</w:t>
      </w:r>
      <w:r w:rsidRPr="00A84A00">
        <w:rPr>
          <w:rFonts w:ascii="Times New Roman" w:hAnsi="Times New Roman" w:cs="Times New Roman"/>
          <w:sz w:val="24"/>
          <w:szCs w:val="24"/>
          <w:lang w:val="en-US"/>
        </w:rPr>
        <w:t xml:space="preserve"> Literature Review and Problem Definition</w:t>
      </w:r>
    </w:p>
    <w:p w14:paraId="1377B7E7" w14:textId="77777777" w:rsidR="00A84A00" w:rsidRPr="00A84A00" w:rsidRDefault="00A84A00" w:rsidP="00A84A00">
      <w:pPr>
        <w:jc w:val="both"/>
        <w:rPr>
          <w:rFonts w:ascii="Times New Roman" w:hAnsi="Times New Roman" w:cs="Times New Roman"/>
          <w:sz w:val="24"/>
          <w:szCs w:val="24"/>
        </w:rPr>
      </w:pPr>
      <w:r w:rsidRPr="00A84A00">
        <w:rPr>
          <w:rFonts w:ascii="Times New Roman" w:hAnsi="Times New Roman" w:cs="Times New Roman"/>
          <w:b/>
          <w:bCs/>
          <w:sz w:val="24"/>
          <w:szCs w:val="24"/>
          <w:lang w:val="en-US"/>
        </w:rPr>
        <w:t>Mar 11 – Mar 18:</w:t>
      </w:r>
      <w:r w:rsidRPr="00A84A00">
        <w:rPr>
          <w:rFonts w:ascii="Times New Roman" w:hAnsi="Times New Roman" w:cs="Times New Roman"/>
          <w:sz w:val="24"/>
          <w:szCs w:val="24"/>
          <w:lang w:val="en-US"/>
        </w:rPr>
        <w:t xml:space="preserve"> Data Acquisition and Setup</w:t>
      </w:r>
    </w:p>
    <w:p w14:paraId="72D6E258" w14:textId="77777777" w:rsidR="00A84A00" w:rsidRPr="00A84A00" w:rsidRDefault="00A84A00" w:rsidP="00A84A00">
      <w:pPr>
        <w:jc w:val="both"/>
        <w:rPr>
          <w:rFonts w:ascii="Times New Roman" w:hAnsi="Times New Roman" w:cs="Times New Roman"/>
          <w:sz w:val="24"/>
          <w:szCs w:val="24"/>
        </w:rPr>
      </w:pPr>
      <w:r w:rsidRPr="00A84A00">
        <w:rPr>
          <w:rFonts w:ascii="Times New Roman" w:hAnsi="Times New Roman" w:cs="Times New Roman"/>
          <w:b/>
          <w:bCs/>
          <w:sz w:val="24"/>
          <w:szCs w:val="24"/>
          <w:lang w:val="en-US"/>
        </w:rPr>
        <w:t>Mar 19 – Apr 10:</w:t>
      </w:r>
      <w:r w:rsidRPr="00A84A00">
        <w:rPr>
          <w:rFonts w:ascii="Times New Roman" w:hAnsi="Times New Roman" w:cs="Times New Roman"/>
          <w:sz w:val="24"/>
          <w:szCs w:val="24"/>
          <w:lang w:val="en-US"/>
        </w:rPr>
        <w:t xml:space="preserve"> Step 1: Data Aggregation</w:t>
      </w:r>
    </w:p>
    <w:p w14:paraId="38B64A79" w14:textId="77777777" w:rsidR="00A84A00" w:rsidRPr="00A84A00" w:rsidRDefault="00A84A00" w:rsidP="00A84A00">
      <w:pPr>
        <w:jc w:val="both"/>
        <w:rPr>
          <w:rFonts w:ascii="Times New Roman" w:hAnsi="Times New Roman" w:cs="Times New Roman"/>
          <w:sz w:val="24"/>
          <w:szCs w:val="24"/>
        </w:rPr>
      </w:pPr>
      <w:r w:rsidRPr="00A84A00">
        <w:rPr>
          <w:rFonts w:ascii="Times New Roman" w:hAnsi="Times New Roman" w:cs="Times New Roman"/>
          <w:b/>
          <w:bCs/>
          <w:sz w:val="24"/>
          <w:szCs w:val="24"/>
          <w:lang w:val="en-US"/>
        </w:rPr>
        <w:t>Apr 11 – May 15:</w:t>
      </w:r>
      <w:r w:rsidRPr="00A84A00">
        <w:rPr>
          <w:rFonts w:ascii="Times New Roman" w:hAnsi="Times New Roman" w:cs="Times New Roman"/>
          <w:sz w:val="24"/>
          <w:szCs w:val="24"/>
          <w:lang w:val="en-US"/>
        </w:rPr>
        <w:t xml:space="preserve"> Step 2: Return Decomposition Algorithm</w:t>
      </w:r>
    </w:p>
    <w:p w14:paraId="4453CB37" w14:textId="77777777" w:rsidR="00A84A00" w:rsidRPr="00A84A00" w:rsidRDefault="00A84A00" w:rsidP="00A84A00">
      <w:pPr>
        <w:jc w:val="both"/>
        <w:rPr>
          <w:rFonts w:ascii="Times New Roman" w:hAnsi="Times New Roman" w:cs="Times New Roman"/>
          <w:sz w:val="24"/>
          <w:szCs w:val="24"/>
        </w:rPr>
      </w:pPr>
      <w:r w:rsidRPr="00A84A00">
        <w:rPr>
          <w:rFonts w:ascii="Times New Roman" w:hAnsi="Times New Roman" w:cs="Times New Roman"/>
          <w:b/>
          <w:bCs/>
          <w:sz w:val="24"/>
          <w:szCs w:val="24"/>
          <w:lang w:val="en-US"/>
        </w:rPr>
        <w:t>May 16 – Jun 15:</w:t>
      </w:r>
      <w:r w:rsidRPr="00A84A00">
        <w:rPr>
          <w:rFonts w:ascii="Times New Roman" w:hAnsi="Times New Roman" w:cs="Times New Roman"/>
          <w:sz w:val="24"/>
          <w:szCs w:val="24"/>
          <w:lang w:val="en-US"/>
        </w:rPr>
        <w:t xml:space="preserve"> Step 3: Temporal Regime Mapping</w:t>
      </w:r>
    </w:p>
    <w:p w14:paraId="5DA7CCDA" w14:textId="77777777" w:rsidR="00A84A00" w:rsidRPr="00A84A00" w:rsidRDefault="00A84A00" w:rsidP="00A84A00">
      <w:pPr>
        <w:jc w:val="both"/>
        <w:rPr>
          <w:rFonts w:ascii="Times New Roman" w:hAnsi="Times New Roman" w:cs="Times New Roman"/>
          <w:sz w:val="24"/>
          <w:szCs w:val="24"/>
        </w:rPr>
      </w:pPr>
      <w:r w:rsidRPr="00A84A00">
        <w:rPr>
          <w:rFonts w:ascii="Times New Roman" w:hAnsi="Times New Roman" w:cs="Times New Roman"/>
          <w:b/>
          <w:bCs/>
          <w:sz w:val="24"/>
          <w:szCs w:val="24"/>
          <w:lang w:val="en-US"/>
        </w:rPr>
        <w:t>Jun 16 – Jul 10:</w:t>
      </w:r>
      <w:r w:rsidRPr="00A84A00">
        <w:rPr>
          <w:rFonts w:ascii="Times New Roman" w:hAnsi="Times New Roman" w:cs="Times New Roman"/>
          <w:sz w:val="24"/>
          <w:szCs w:val="24"/>
          <w:lang w:val="en-US"/>
        </w:rPr>
        <w:t xml:space="preserve"> Final Synthesis and Report Formatting</w:t>
      </w:r>
    </w:p>
    <w:p w14:paraId="096AB92A" w14:textId="77777777" w:rsidR="00A84A00" w:rsidRPr="00A84A00" w:rsidRDefault="00A84A00" w:rsidP="00A84A00">
      <w:pPr>
        <w:jc w:val="both"/>
        <w:rPr>
          <w:rFonts w:ascii="Times New Roman" w:hAnsi="Times New Roman" w:cs="Times New Roman"/>
          <w:sz w:val="24"/>
          <w:szCs w:val="24"/>
        </w:rPr>
      </w:pPr>
      <w:r w:rsidRPr="00A84A00">
        <w:rPr>
          <w:rFonts w:ascii="Times New Roman" w:hAnsi="Times New Roman" w:cs="Times New Roman"/>
          <w:b/>
          <w:bCs/>
          <w:sz w:val="24"/>
          <w:szCs w:val="24"/>
          <w:lang w:val="en-US"/>
        </w:rPr>
        <w:t>Mid-July:</w:t>
      </w:r>
      <w:r w:rsidRPr="00A84A00">
        <w:rPr>
          <w:rFonts w:ascii="Times New Roman" w:hAnsi="Times New Roman" w:cs="Times New Roman"/>
          <w:sz w:val="24"/>
          <w:szCs w:val="24"/>
          <w:lang w:val="en-US"/>
        </w:rPr>
        <w:t xml:space="preserve"> Final Presentation</w:t>
      </w:r>
    </w:p>
    <w:p w14:paraId="2D330668" w14:textId="77777777" w:rsidR="00A84A00" w:rsidRPr="00645403" w:rsidRDefault="00A84A00" w:rsidP="00A84A00">
      <w:pPr>
        <w:jc w:val="both"/>
        <w:rPr>
          <w:rFonts w:ascii="Times New Roman" w:hAnsi="Times New Roman" w:cs="Times New Roman"/>
          <w:sz w:val="24"/>
          <w:szCs w:val="24"/>
        </w:rPr>
      </w:pPr>
    </w:p>
    <w:p w14:paraId="0EFCB5F2" w14:textId="4516853D" w:rsidR="00A84A00" w:rsidRPr="00A84A00" w:rsidRDefault="00A84A00" w:rsidP="00A84A00">
      <w:pPr>
        <w:jc w:val="both"/>
        <w:rPr>
          <w:rFonts w:ascii="Times New Roman" w:hAnsi="Times New Roman" w:cs="Times New Roman"/>
          <w:b/>
          <w:bCs/>
          <w:sz w:val="28"/>
          <w:szCs w:val="28"/>
        </w:rPr>
      </w:pPr>
      <w:r w:rsidRPr="00A84A00">
        <w:rPr>
          <w:rFonts w:ascii="Times New Roman" w:hAnsi="Times New Roman" w:cs="Times New Roman"/>
          <w:b/>
          <w:bCs/>
          <w:sz w:val="28"/>
          <w:szCs w:val="28"/>
        </w:rPr>
        <w:t>CONCLUSION</w:t>
      </w:r>
    </w:p>
    <w:p w14:paraId="0FDCBD90" w14:textId="77777777" w:rsidR="00A84A00" w:rsidRPr="00645403" w:rsidRDefault="00A84A00" w:rsidP="00A84A00">
      <w:pPr>
        <w:jc w:val="both"/>
        <w:rPr>
          <w:rFonts w:ascii="Times New Roman" w:hAnsi="Times New Roman" w:cs="Times New Roman"/>
          <w:sz w:val="24"/>
          <w:szCs w:val="24"/>
        </w:rPr>
      </w:pPr>
      <w:r w:rsidRPr="00A84A00">
        <w:rPr>
          <w:rFonts w:ascii="Times New Roman" w:hAnsi="Times New Roman" w:cs="Times New Roman"/>
          <w:sz w:val="24"/>
          <w:szCs w:val="24"/>
        </w:rPr>
        <w:t>The S&amp;P 500 index's reliance on a concentrated cohort of technology firms poses significant questions regarding the true stability of modern equity markets. While aggregate index returns currently project economic strength, these monolithic metrics fail to capture underlying firm-level fragility. By shifting the analytical focus from aggregate historical returns to dynamic return decomposition, this research aims to provide a vital diagnostic tool. Tracking how stocks continuously shift between Drivers, Supporters, and Laggards based on macroeconomic fear triggers will directly answer critical questions regarding modern market stability, ultimately filling a significant gap in contemporary financial literature.</w:t>
      </w:r>
    </w:p>
    <w:p w14:paraId="4420BB74" w14:textId="77777777" w:rsidR="00A84A00" w:rsidRPr="00A84A00" w:rsidRDefault="00A84A00" w:rsidP="00A84A00">
      <w:pPr>
        <w:jc w:val="both"/>
        <w:rPr>
          <w:rFonts w:ascii="Times New Roman" w:hAnsi="Times New Roman" w:cs="Times New Roman"/>
          <w:sz w:val="24"/>
          <w:szCs w:val="24"/>
        </w:rPr>
      </w:pPr>
    </w:p>
    <w:p w14:paraId="2260FD14" w14:textId="77777777" w:rsidR="00A84A00" w:rsidRPr="00A84A00" w:rsidRDefault="00A84A00" w:rsidP="00A84A00">
      <w:pPr>
        <w:jc w:val="both"/>
        <w:rPr>
          <w:rFonts w:ascii="Times New Roman" w:hAnsi="Times New Roman" w:cs="Times New Roman"/>
          <w:b/>
          <w:bCs/>
          <w:sz w:val="28"/>
          <w:szCs w:val="28"/>
        </w:rPr>
      </w:pPr>
      <w:r w:rsidRPr="00A84A00">
        <w:rPr>
          <w:rFonts w:ascii="Times New Roman" w:hAnsi="Times New Roman" w:cs="Times New Roman"/>
          <w:b/>
          <w:bCs/>
          <w:sz w:val="28"/>
          <w:szCs w:val="28"/>
        </w:rPr>
        <w:t>REFERENCES</w:t>
      </w:r>
    </w:p>
    <w:p w14:paraId="7DD9B1D7" w14:textId="3FD58A42" w:rsidR="00A84A00" w:rsidRPr="00A84A00" w:rsidRDefault="0069609E" w:rsidP="0069609E">
      <w:pPr>
        <w:jc w:val="both"/>
        <w:rPr>
          <w:rFonts w:ascii="Times New Roman" w:hAnsi="Times New Roman" w:cs="Times New Roman"/>
          <w:sz w:val="24"/>
          <w:szCs w:val="24"/>
        </w:rPr>
      </w:pPr>
      <w:r w:rsidRPr="00645403">
        <w:rPr>
          <w:rFonts w:ascii="Times New Roman" w:hAnsi="Times New Roman" w:cs="Times New Roman"/>
          <w:sz w:val="24"/>
          <w:szCs w:val="24"/>
        </w:rPr>
        <w:t xml:space="preserve">[1] </w:t>
      </w:r>
      <w:r w:rsidR="00A84A00" w:rsidRPr="00A84A00">
        <w:rPr>
          <w:rFonts w:ascii="Times New Roman" w:hAnsi="Times New Roman" w:cs="Times New Roman"/>
          <w:sz w:val="24"/>
          <w:szCs w:val="24"/>
        </w:rPr>
        <w:t>Kostin, D. (2024). Market Concentration: How Big a Worry? Goldman Sachs Global Macro Research.</w:t>
      </w:r>
    </w:p>
    <w:p w14:paraId="2388938C" w14:textId="7767D6D8" w:rsidR="00A84A00" w:rsidRPr="00A84A00" w:rsidRDefault="0069609E" w:rsidP="0069609E">
      <w:pPr>
        <w:jc w:val="both"/>
        <w:rPr>
          <w:rFonts w:ascii="Times New Roman" w:hAnsi="Times New Roman" w:cs="Times New Roman"/>
          <w:sz w:val="24"/>
          <w:szCs w:val="24"/>
        </w:rPr>
      </w:pPr>
      <w:r w:rsidRPr="00645403">
        <w:rPr>
          <w:rFonts w:ascii="Times New Roman" w:hAnsi="Times New Roman" w:cs="Times New Roman"/>
          <w:sz w:val="24"/>
          <w:szCs w:val="24"/>
        </w:rPr>
        <w:t xml:space="preserve">[2] </w:t>
      </w:r>
      <w:r w:rsidR="00A84A00" w:rsidRPr="00A84A00">
        <w:rPr>
          <w:rFonts w:ascii="Times New Roman" w:hAnsi="Times New Roman" w:cs="Times New Roman"/>
          <w:sz w:val="24"/>
          <w:szCs w:val="24"/>
        </w:rPr>
        <w:t>Nagle, F., &amp; Yue, D. (2025). The Latent Role of Open Models in the AI Economy. MIT Sloan &amp; Georgia Institute of Technology.</w:t>
      </w:r>
    </w:p>
    <w:p w14:paraId="499120E0" w14:textId="773F9E94" w:rsidR="00A84A00" w:rsidRPr="00A84A00" w:rsidRDefault="0069609E" w:rsidP="0069609E">
      <w:pPr>
        <w:jc w:val="both"/>
        <w:rPr>
          <w:rFonts w:ascii="Times New Roman" w:hAnsi="Times New Roman" w:cs="Times New Roman"/>
          <w:sz w:val="24"/>
          <w:szCs w:val="24"/>
        </w:rPr>
      </w:pPr>
      <w:r w:rsidRPr="00645403">
        <w:rPr>
          <w:rFonts w:ascii="Times New Roman" w:hAnsi="Times New Roman" w:cs="Times New Roman"/>
          <w:sz w:val="24"/>
          <w:szCs w:val="24"/>
        </w:rPr>
        <w:lastRenderedPageBreak/>
        <w:t xml:space="preserve">[3] </w:t>
      </w:r>
      <w:r w:rsidR="00A84A00" w:rsidRPr="00A84A00">
        <w:rPr>
          <w:rFonts w:ascii="Times New Roman" w:hAnsi="Times New Roman" w:cs="Times New Roman"/>
          <w:sz w:val="24"/>
          <w:szCs w:val="24"/>
        </w:rPr>
        <w:t>Kritzman, M., &amp; Turkington, D. (2025). The Fallacy of Concentration. SSRN.</w:t>
      </w:r>
    </w:p>
    <w:p w14:paraId="5FA701FF" w14:textId="1FC2C7FB" w:rsidR="00A84A00" w:rsidRPr="00A84A00" w:rsidRDefault="0069609E" w:rsidP="0069609E">
      <w:pPr>
        <w:jc w:val="both"/>
        <w:rPr>
          <w:rFonts w:ascii="Times New Roman" w:hAnsi="Times New Roman" w:cs="Times New Roman"/>
          <w:sz w:val="24"/>
          <w:szCs w:val="24"/>
        </w:rPr>
      </w:pPr>
      <w:r w:rsidRPr="00645403">
        <w:rPr>
          <w:rFonts w:ascii="Times New Roman" w:hAnsi="Times New Roman" w:cs="Times New Roman"/>
          <w:sz w:val="24"/>
          <w:szCs w:val="24"/>
        </w:rPr>
        <w:t xml:space="preserve">[4] </w:t>
      </w:r>
      <w:r w:rsidR="00A84A00" w:rsidRPr="00A84A00">
        <w:rPr>
          <w:rFonts w:ascii="Times New Roman" w:hAnsi="Times New Roman" w:cs="Times New Roman"/>
          <w:sz w:val="24"/>
          <w:szCs w:val="24"/>
        </w:rPr>
        <w:t>Bye, P., Kvaerner, J. S., &amp; Werker, B. J. M. (2026). Magnificent, but Not Extraordinary. SSRN.</w:t>
      </w:r>
    </w:p>
    <w:p w14:paraId="3C2A70FA" w14:textId="77777777" w:rsidR="0069609E" w:rsidRPr="0069609E" w:rsidRDefault="0069609E" w:rsidP="0069609E">
      <w:pPr>
        <w:jc w:val="both"/>
        <w:rPr>
          <w:rFonts w:ascii="Times New Roman" w:hAnsi="Times New Roman" w:cs="Times New Roman"/>
          <w:sz w:val="24"/>
          <w:szCs w:val="24"/>
        </w:rPr>
      </w:pPr>
      <w:r w:rsidRPr="0069609E">
        <w:rPr>
          <w:rFonts w:ascii="Times New Roman" w:hAnsi="Times New Roman" w:cs="Times New Roman"/>
          <w:sz w:val="24"/>
          <w:szCs w:val="24"/>
          <w:lang w:val="en-US"/>
        </w:rPr>
        <w:t>[5] Supplemental: Gibson-Moore, D. (2026). US Concentration Risks and the AI Capex Cycle. Asian &amp; European Market Analysis.</w:t>
      </w:r>
    </w:p>
    <w:p w14:paraId="33E00766" w14:textId="77777777" w:rsidR="0069609E" w:rsidRPr="0069609E" w:rsidRDefault="0069609E" w:rsidP="0069609E">
      <w:pPr>
        <w:jc w:val="both"/>
        <w:rPr>
          <w:rFonts w:ascii="Times New Roman" w:hAnsi="Times New Roman" w:cs="Times New Roman"/>
          <w:sz w:val="24"/>
          <w:szCs w:val="24"/>
        </w:rPr>
      </w:pPr>
      <w:r w:rsidRPr="0069609E">
        <w:rPr>
          <w:rFonts w:ascii="Times New Roman" w:hAnsi="Times New Roman" w:cs="Times New Roman"/>
          <w:sz w:val="24"/>
          <w:szCs w:val="24"/>
          <w:lang w:val="en-US"/>
        </w:rPr>
        <w:t>[6] Supplemental: Morgan Stanley. (2025). S&amp;P 500: Q4 2024 Earnings Outlook and the 2025 Rotation.</w:t>
      </w:r>
    </w:p>
    <w:p w14:paraId="332613B3" w14:textId="77777777" w:rsidR="007F0DD3" w:rsidRPr="00645403" w:rsidRDefault="007F0DD3" w:rsidP="0069609E">
      <w:pPr>
        <w:jc w:val="both"/>
        <w:rPr>
          <w:rFonts w:ascii="Times New Roman" w:hAnsi="Times New Roman" w:cs="Times New Roman"/>
          <w:sz w:val="24"/>
          <w:szCs w:val="24"/>
        </w:rPr>
      </w:pPr>
    </w:p>
    <w:sectPr w:rsidR="007F0DD3" w:rsidRPr="006454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B011F"/>
    <w:multiLevelType w:val="multilevel"/>
    <w:tmpl w:val="41026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EA5E42"/>
    <w:multiLevelType w:val="multilevel"/>
    <w:tmpl w:val="BE542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7B5F23"/>
    <w:multiLevelType w:val="multilevel"/>
    <w:tmpl w:val="21B44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132043"/>
    <w:multiLevelType w:val="multilevel"/>
    <w:tmpl w:val="E9F0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FD1FF5"/>
    <w:multiLevelType w:val="hybridMultilevel"/>
    <w:tmpl w:val="820A319C"/>
    <w:lvl w:ilvl="0" w:tplc="B49AED7C">
      <w:start w:val="1"/>
      <w:numFmt w:val="bullet"/>
      <w:lvlText w:val="▪"/>
      <w:lvlJc w:val="left"/>
      <w:pPr>
        <w:tabs>
          <w:tab w:val="num" w:pos="720"/>
        </w:tabs>
        <w:ind w:left="720" w:hanging="360"/>
      </w:pPr>
      <w:rPr>
        <w:rFonts w:ascii="Arial" w:hAnsi="Arial" w:hint="default"/>
      </w:rPr>
    </w:lvl>
    <w:lvl w:ilvl="1" w:tplc="6D54A484" w:tentative="1">
      <w:start w:val="1"/>
      <w:numFmt w:val="bullet"/>
      <w:lvlText w:val="▪"/>
      <w:lvlJc w:val="left"/>
      <w:pPr>
        <w:tabs>
          <w:tab w:val="num" w:pos="1440"/>
        </w:tabs>
        <w:ind w:left="1440" w:hanging="360"/>
      </w:pPr>
      <w:rPr>
        <w:rFonts w:ascii="Arial" w:hAnsi="Arial" w:hint="default"/>
      </w:rPr>
    </w:lvl>
    <w:lvl w:ilvl="2" w:tplc="DAA8E12C" w:tentative="1">
      <w:start w:val="1"/>
      <w:numFmt w:val="bullet"/>
      <w:lvlText w:val="▪"/>
      <w:lvlJc w:val="left"/>
      <w:pPr>
        <w:tabs>
          <w:tab w:val="num" w:pos="2160"/>
        </w:tabs>
        <w:ind w:left="2160" w:hanging="360"/>
      </w:pPr>
      <w:rPr>
        <w:rFonts w:ascii="Arial" w:hAnsi="Arial" w:hint="default"/>
      </w:rPr>
    </w:lvl>
    <w:lvl w:ilvl="3" w:tplc="19380042" w:tentative="1">
      <w:start w:val="1"/>
      <w:numFmt w:val="bullet"/>
      <w:lvlText w:val="▪"/>
      <w:lvlJc w:val="left"/>
      <w:pPr>
        <w:tabs>
          <w:tab w:val="num" w:pos="2880"/>
        </w:tabs>
        <w:ind w:left="2880" w:hanging="360"/>
      </w:pPr>
      <w:rPr>
        <w:rFonts w:ascii="Arial" w:hAnsi="Arial" w:hint="default"/>
      </w:rPr>
    </w:lvl>
    <w:lvl w:ilvl="4" w:tplc="1B08698C" w:tentative="1">
      <w:start w:val="1"/>
      <w:numFmt w:val="bullet"/>
      <w:lvlText w:val="▪"/>
      <w:lvlJc w:val="left"/>
      <w:pPr>
        <w:tabs>
          <w:tab w:val="num" w:pos="3600"/>
        </w:tabs>
        <w:ind w:left="3600" w:hanging="360"/>
      </w:pPr>
      <w:rPr>
        <w:rFonts w:ascii="Arial" w:hAnsi="Arial" w:hint="default"/>
      </w:rPr>
    </w:lvl>
    <w:lvl w:ilvl="5" w:tplc="B9D6E728" w:tentative="1">
      <w:start w:val="1"/>
      <w:numFmt w:val="bullet"/>
      <w:lvlText w:val="▪"/>
      <w:lvlJc w:val="left"/>
      <w:pPr>
        <w:tabs>
          <w:tab w:val="num" w:pos="4320"/>
        </w:tabs>
        <w:ind w:left="4320" w:hanging="360"/>
      </w:pPr>
      <w:rPr>
        <w:rFonts w:ascii="Arial" w:hAnsi="Arial" w:hint="default"/>
      </w:rPr>
    </w:lvl>
    <w:lvl w:ilvl="6" w:tplc="92F8A77C" w:tentative="1">
      <w:start w:val="1"/>
      <w:numFmt w:val="bullet"/>
      <w:lvlText w:val="▪"/>
      <w:lvlJc w:val="left"/>
      <w:pPr>
        <w:tabs>
          <w:tab w:val="num" w:pos="5040"/>
        </w:tabs>
        <w:ind w:left="5040" w:hanging="360"/>
      </w:pPr>
      <w:rPr>
        <w:rFonts w:ascii="Arial" w:hAnsi="Arial" w:hint="default"/>
      </w:rPr>
    </w:lvl>
    <w:lvl w:ilvl="7" w:tplc="F21476F4" w:tentative="1">
      <w:start w:val="1"/>
      <w:numFmt w:val="bullet"/>
      <w:lvlText w:val="▪"/>
      <w:lvlJc w:val="left"/>
      <w:pPr>
        <w:tabs>
          <w:tab w:val="num" w:pos="5760"/>
        </w:tabs>
        <w:ind w:left="5760" w:hanging="360"/>
      </w:pPr>
      <w:rPr>
        <w:rFonts w:ascii="Arial" w:hAnsi="Arial" w:hint="default"/>
      </w:rPr>
    </w:lvl>
    <w:lvl w:ilvl="8" w:tplc="CF3A68B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FCF1866"/>
    <w:multiLevelType w:val="hybridMultilevel"/>
    <w:tmpl w:val="74265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EF30C34"/>
    <w:multiLevelType w:val="hybridMultilevel"/>
    <w:tmpl w:val="ACD62C4C"/>
    <w:lvl w:ilvl="0" w:tplc="E9C25086">
      <w:start w:val="1"/>
      <w:numFmt w:val="bullet"/>
      <w:lvlText w:val="▪"/>
      <w:lvlJc w:val="left"/>
      <w:pPr>
        <w:tabs>
          <w:tab w:val="num" w:pos="720"/>
        </w:tabs>
        <w:ind w:left="720" w:hanging="360"/>
      </w:pPr>
      <w:rPr>
        <w:rFonts w:ascii="Arial" w:hAnsi="Arial" w:hint="default"/>
      </w:rPr>
    </w:lvl>
    <w:lvl w:ilvl="1" w:tplc="77E2A3C6" w:tentative="1">
      <w:start w:val="1"/>
      <w:numFmt w:val="bullet"/>
      <w:lvlText w:val="▪"/>
      <w:lvlJc w:val="left"/>
      <w:pPr>
        <w:tabs>
          <w:tab w:val="num" w:pos="1440"/>
        </w:tabs>
        <w:ind w:left="1440" w:hanging="360"/>
      </w:pPr>
      <w:rPr>
        <w:rFonts w:ascii="Arial" w:hAnsi="Arial" w:hint="default"/>
      </w:rPr>
    </w:lvl>
    <w:lvl w:ilvl="2" w:tplc="82BA9962" w:tentative="1">
      <w:start w:val="1"/>
      <w:numFmt w:val="bullet"/>
      <w:lvlText w:val="▪"/>
      <w:lvlJc w:val="left"/>
      <w:pPr>
        <w:tabs>
          <w:tab w:val="num" w:pos="2160"/>
        </w:tabs>
        <w:ind w:left="2160" w:hanging="360"/>
      </w:pPr>
      <w:rPr>
        <w:rFonts w:ascii="Arial" w:hAnsi="Arial" w:hint="default"/>
      </w:rPr>
    </w:lvl>
    <w:lvl w:ilvl="3" w:tplc="B17A175C" w:tentative="1">
      <w:start w:val="1"/>
      <w:numFmt w:val="bullet"/>
      <w:lvlText w:val="▪"/>
      <w:lvlJc w:val="left"/>
      <w:pPr>
        <w:tabs>
          <w:tab w:val="num" w:pos="2880"/>
        </w:tabs>
        <w:ind w:left="2880" w:hanging="360"/>
      </w:pPr>
      <w:rPr>
        <w:rFonts w:ascii="Arial" w:hAnsi="Arial" w:hint="default"/>
      </w:rPr>
    </w:lvl>
    <w:lvl w:ilvl="4" w:tplc="7D26B370" w:tentative="1">
      <w:start w:val="1"/>
      <w:numFmt w:val="bullet"/>
      <w:lvlText w:val="▪"/>
      <w:lvlJc w:val="left"/>
      <w:pPr>
        <w:tabs>
          <w:tab w:val="num" w:pos="3600"/>
        </w:tabs>
        <w:ind w:left="3600" w:hanging="360"/>
      </w:pPr>
      <w:rPr>
        <w:rFonts w:ascii="Arial" w:hAnsi="Arial" w:hint="default"/>
      </w:rPr>
    </w:lvl>
    <w:lvl w:ilvl="5" w:tplc="5532B7AE" w:tentative="1">
      <w:start w:val="1"/>
      <w:numFmt w:val="bullet"/>
      <w:lvlText w:val="▪"/>
      <w:lvlJc w:val="left"/>
      <w:pPr>
        <w:tabs>
          <w:tab w:val="num" w:pos="4320"/>
        </w:tabs>
        <w:ind w:left="4320" w:hanging="360"/>
      </w:pPr>
      <w:rPr>
        <w:rFonts w:ascii="Arial" w:hAnsi="Arial" w:hint="default"/>
      </w:rPr>
    </w:lvl>
    <w:lvl w:ilvl="6" w:tplc="03648786" w:tentative="1">
      <w:start w:val="1"/>
      <w:numFmt w:val="bullet"/>
      <w:lvlText w:val="▪"/>
      <w:lvlJc w:val="left"/>
      <w:pPr>
        <w:tabs>
          <w:tab w:val="num" w:pos="5040"/>
        </w:tabs>
        <w:ind w:left="5040" w:hanging="360"/>
      </w:pPr>
      <w:rPr>
        <w:rFonts w:ascii="Arial" w:hAnsi="Arial" w:hint="default"/>
      </w:rPr>
    </w:lvl>
    <w:lvl w:ilvl="7" w:tplc="B7F4BA12" w:tentative="1">
      <w:start w:val="1"/>
      <w:numFmt w:val="bullet"/>
      <w:lvlText w:val="▪"/>
      <w:lvlJc w:val="left"/>
      <w:pPr>
        <w:tabs>
          <w:tab w:val="num" w:pos="5760"/>
        </w:tabs>
        <w:ind w:left="5760" w:hanging="360"/>
      </w:pPr>
      <w:rPr>
        <w:rFonts w:ascii="Arial" w:hAnsi="Arial" w:hint="default"/>
      </w:rPr>
    </w:lvl>
    <w:lvl w:ilvl="8" w:tplc="F85804B8" w:tentative="1">
      <w:start w:val="1"/>
      <w:numFmt w:val="bullet"/>
      <w:lvlText w:val="▪"/>
      <w:lvlJc w:val="left"/>
      <w:pPr>
        <w:tabs>
          <w:tab w:val="num" w:pos="6480"/>
        </w:tabs>
        <w:ind w:left="6480" w:hanging="360"/>
      </w:pPr>
      <w:rPr>
        <w:rFonts w:ascii="Arial" w:hAnsi="Arial" w:hint="default"/>
      </w:rPr>
    </w:lvl>
  </w:abstractNum>
  <w:num w:numId="1" w16cid:durableId="380908526">
    <w:abstractNumId w:val="2"/>
  </w:num>
  <w:num w:numId="2" w16cid:durableId="734207822">
    <w:abstractNumId w:val="3"/>
  </w:num>
  <w:num w:numId="3" w16cid:durableId="692654752">
    <w:abstractNumId w:val="0"/>
  </w:num>
  <w:num w:numId="4" w16cid:durableId="1953366967">
    <w:abstractNumId w:val="1"/>
  </w:num>
  <w:num w:numId="5" w16cid:durableId="945388705">
    <w:abstractNumId w:val="5"/>
  </w:num>
  <w:num w:numId="6" w16cid:durableId="957957195">
    <w:abstractNumId w:val="6"/>
  </w:num>
  <w:num w:numId="7" w16cid:durableId="1784305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A00"/>
    <w:rsid w:val="00222131"/>
    <w:rsid w:val="00330D16"/>
    <w:rsid w:val="003B7C3E"/>
    <w:rsid w:val="003C6929"/>
    <w:rsid w:val="00531469"/>
    <w:rsid w:val="00575227"/>
    <w:rsid w:val="00645403"/>
    <w:rsid w:val="0069609E"/>
    <w:rsid w:val="007507A6"/>
    <w:rsid w:val="007F0DD3"/>
    <w:rsid w:val="00A84A00"/>
    <w:rsid w:val="00D34EFD"/>
    <w:rsid w:val="00F1227E"/>
    <w:rsid w:val="00F574C6"/>
    <w:rsid w:val="00FF2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55B07"/>
  <w15:chartTrackingRefBased/>
  <w15:docId w15:val="{354DBEA7-15F6-4824-ABED-2B11503C2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A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4A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4A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4A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4A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4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A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4A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4A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4A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4A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4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A00"/>
    <w:rPr>
      <w:rFonts w:eastAsiaTheme="majorEastAsia" w:cstheme="majorBidi"/>
      <w:color w:val="272727" w:themeColor="text1" w:themeTint="D8"/>
    </w:rPr>
  </w:style>
  <w:style w:type="paragraph" w:styleId="Title">
    <w:name w:val="Title"/>
    <w:basedOn w:val="Normal"/>
    <w:next w:val="Normal"/>
    <w:link w:val="TitleChar"/>
    <w:uiPriority w:val="10"/>
    <w:qFormat/>
    <w:rsid w:val="00A84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A00"/>
    <w:pPr>
      <w:spacing w:before="160"/>
      <w:jc w:val="center"/>
    </w:pPr>
    <w:rPr>
      <w:i/>
      <w:iCs/>
      <w:color w:val="404040" w:themeColor="text1" w:themeTint="BF"/>
    </w:rPr>
  </w:style>
  <w:style w:type="character" w:customStyle="1" w:styleId="QuoteChar">
    <w:name w:val="Quote Char"/>
    <w:basedOn w:val="DefaultParagraphFont"/>
    <w:link w:val="Quote"/>
    <w:uiPriority w:val="29"/>
    <w:rsid w:val="00A84A00"/>
    <w:rPr>
      <w:i/>
      <w:iCs/>
      <w:color w:val="404040" w:themeColor="text1" w:themeTint="BF"/>
    </w:rPr>
  </w:style>
  <w:style w:type="paragraph" w:styleId="ListParagraph">
    <w:name w:val="List Paragraph"/>
    <w:basedOn w:val="Normal"/>
    <w:uiPriority w:val="34"/>
    <w:qFormat/>
    <w:rsid w:val="00A84A00"/>
    <w:pPr>
      <w:ind w:left="720"/>
      <w:contextualSpacing/>
    </w:pPr>
  </w:style>
  <w:style w:type="character" w:styleId="IntenseEmphasis">
    <w:name w:val="Intense Emphasis"/>
    <w:basedOn w:val="DefaultParagraphFont"/>
    <w:uiPriority w:val="21"/>
    <w:qFormat/>
    <w:rsid w:val="00A84A00"/>
    <w:rPr>
      <w:i/>
      <w:iCs/>
      <w:color w:val="2F5496" w:themeColor="accent1" w:themeShade="BF"/>
    </w:rPr>
  </w:style>
  <w:style w:type="paragraph" w:styleId="IntenseQuote">
    <w:name w:val="Intense Quote"/>
    <w:basedOn w:val="Normal"/>
    <w:next w:val="Normal"/>
    <w:link w:val="IntenseQuoteChar"/>
    <w:uiPriority w:val="30"/>
    <w:qFormat/>
    <w:rsid w:val="00A84A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4A00"/>
    <w:rPr>
      <w:i/>
      <w:iCs/>
      <w:color w:val="2F5496" w:themeColor="accent1" w:themeShade="BF"/>
    </w:rPr>
  </w:style>
  <w:style w:type="character" w:styleId="IntenseReference">
    <w:name w:val="Intense Reference"/>
    <w:basedOn w:val="DefaultParagraphFont"/>
    <w:uiPriority w:val="32"/>
    <w:qFormat/>
    <w:rsid w:val="00A84A00"/>
    <w:rPr>
      <w:b/>
      <w:bCs/>
      <w:smallCaps/>
      <w:color w:val="2F5496" w:themeColor="accent1" w:themeShade="BF"/>
      <w:spacing w:val="5"/>
    </w:rPr>
  </w:style>
  <w:style w:type="paragraph" w:styleId="NormalWeb">
    <w:name w:val="Normal (Web)"/>
    <w:basedOn w:val="Normal"/>
    <w:uiPriority w:val="99"/>
    <w:semiHidden/>
    <w:unhideWhenUsed/>
    <w:rsid w:val="00F574C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1620</Words>
  <Characters>9237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Rajput</dc:creator>
  <cp:keywords/>
  <dc:description/>
  <cp:lastModifiedBy>Simran Rajput</cp:lastModifiedBy>
  <cp:revision>5</cp:revision>
  <dcterms:created xsi:type="dcterms:W3CDTF">2026-03-18T14:24:00Z</dcterms:created>
  <dcterms:modified xsi:type="dcterms:W3CDTF">2026-03-18T15:32:00Z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d8dd62c6-a783-4522-824b-c2a26faf7c3d</vt:lpwstr>
  </property>
</Properties>
</file>