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</w:t>
      </w:r>
    </w:p>
    <w:tbl>
      <w:tblPr>
        <w:tblStyle w:val="Table1"/>
        <w:tblW w:w="135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145"/>
        <w:gridCol w:w="1260"/>
        <w:gridCol w:w="1575"/>
        <w:gridCol w:w="1575"/>
        <w:gridCol w:w="1575"/>
        <w:gridCol w:w="1020"/>
        <w:gridCol w:w="2430"/>
        <w:tblGridChange w:id="0">
          <w:tblGrid>
            <w:gridCol w:w="1965"/>
            <w:gridCol w:w="2145"/>
            <w:gridCol w:w="1260"/>
            <w:gridCol w:w="1575"/>
            <w:gridCol w:w="1575"/>
            <w:gridCol w:w="1575"/>
            <w:gridCol w:w="1020"/>
            <w:gridCol w:w="2430"/>
          </w:tblGrid>
        </w:tblGridChange>
      </w:tblGrid>
      <w:tr>
        <w:trPr>
          <w:cantSplit w:val="0"/>
          <w:trHeight w:val="895.068359374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Dynamics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Ax</w:t>
            </w:r>
            <w:r w:rsidDel="00000000" w:rsidR="00000000" w:rsidRPr="00000000">
              <w:rPr>
                <w:b w:val="1"/>
                <w:rtl w:val="0"/>
              </w:rPr>
              <w:t xml:space="preserve"> Axapta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NetSuite (Oracle)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 Force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4</w:t>
            </w:r>
          </w:p>
        </w:tc>
      </w:tr>
      <w:tr>
        <w:trPr>
          <w:cantSplit w:val="0"/>
          <w:trHeight w:val="3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Integral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color w:val="3c3c3d"/>
                <w:sz w:val="12"/>
                <w:szCs w:val="12"/>
                <w:highlight w:val="white"/>
                <w:rtl w:val="0"/>
              </w:rPr>
              <w:t xml:space="preserve"> todos los módulos que lo conforman trabajan en equipo para lograr un mejor y más ordenado -funcionamiento)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Pymes </w:t>
            </w:r>
            <w:r w:rsidDel="00000000" w:rsidR="00000000" w:rsidRPr="00000000">
              <w:rPr>
                <w:rFonts w:ascii="Open Sans" w:cs="Open Sans" w:eastAsia="Open Sans" w:hAnsi="Open Sans"/>
                <w:color w:val="3c3c3d"/>
                <w:sz w:val="12"/>
                <w:szCs w:val="12"/>
                <w:highlight w:val="white"/>
                <w:rtl w:val="0"/>
              </w:rPr>
              <w:t xml:space="preserve"> (Aunque tiene tres tipos, para pymes, para grandes empresas, y operaciones más robustas)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Medianas y grandes 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Medianas 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pymes y Medianas 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grandes 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medianas empresas(aunque tmb pymes)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pequeña a grande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Elegir nube o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la nube y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Local y nube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local o  nube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en 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Rapidez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Escabilidad </w:t>
            </w:r>
            <w:r w:rsidDel="00000000" w:rsidR="00000000" w:rsidRPr="00000000">
              <w:rPr>
                <w:rFonts w:ascii="Open Sans" w:cs="Open Sans" w:eastAsia="Open Sans" w:hAnsi="Open Sans"/>
                <w:color w:val="3c3c3d"/>
                <w:sz w:val="12"/>
                <w:szCs w:val="12"/>
                <w:highlight w:val="white"/>
                <w:rtl w:val="0"/>
              </w:rPr>
              <w:t xml:space="preserve"> (Puede crecer tanto como se necesite)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Escalable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Escalable (hasta internacional)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medida </w:t>
            </w:r>
            <w:r w:rsidDel="00000000" w:rsidR="00000000" w:rsidRPr="00000000">
              <w:rPr>
                <w:rFonts w:ascii="Open Sans" w:cs="Open Sans" w:eastAsia="Open Sans" w:hAnsi="Open Sans"/>
                <w:color w:val="3c3c3d"/>
                <w:sz w:val="12"/>
                <w:szCs w:val="12"/>
                <w:highlight w:val="white"/>
                <w:rtl w:val="0"/>
              </w:rPr>
              <w:t xml:space="preserve">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paquete enorme de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Paquete de modulos personalizables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Módulos personazliables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Misma versión para 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modulos</w:t>
            </w:r>
          </w:p>
        </w:tc>
      </w:tr>
      <w:tr>
        <w:trPr>
          <w:cantSplit w:val="0"/>
          <w:trHeight w:val="807.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con otras aplicaciones y bases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con redes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.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Sencillo y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Intuitivo y sencillo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Dificil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.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Logística, Finanzas, RRHH, Gestión de proyectos, Business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Fabricación, E Commerce, Sector privado , Automoción, Construcción, Control y Gestión Financiera</w:t>
            </w:r>
          </w:p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Compras, Ventas,  Gestión de la Cadena de Suministro, Planificación y  Control de la Producción, Logística, Servicios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Contabilidad, Compra y venta, Finanzas,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Ventas, Contabilidad y 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Finanzas y RRHH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363a41"/>
                <w:sz w:val="12"/>
                <w:szCs w:val="12"/>
                <w:highlight w:val="white"/>
                <w:rtl w:val="0"/>
              </w:rPr>
              <w:t xml:space="preserve">finanzas, distribución, fabricación, servicio externo y profesional, comercio electrónico, construcción, BI y CRM.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63a4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63a41"/>
                <w:sz w:val="18"/>
                <w:szCs w:val="18"/>
                <w:highlight w:val="white"/>
                <w:rtl w:val="0"/>
              </w:rPr>
              <w:t xml:space="preserve">Finanzas, cotabilidad,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63a41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c4c4c"/>
                <w:sz w:val="12"/>
                <w:szCs w:val="12"/>
                <w:highlight w:val="white"/>
                <w:rtl w:val="0"/>
              </w:rPr>
              <w:t xml:space="preserve">administración de redes de suministro planificación de los recursos de fabricación; CRM administración basada en la relación con clientes; Punto de Venta; Finanzas; Contabilidad; Impuestos, Gestión de nómina; y Recursos Humanos.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Requisitos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252.677165354335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0.92355373257"/>
        <w:gridCol w:w="2230.92355373257"/>
        <w:gridCol w:w="2230.92355373257"/>
        <w:gridCol w:w="2388.8676864847816"/>
        <w:gridCol w:w="2085.5194088359203"/>
        <w:gridCol w:w="2085.5194088359203"/>
        <w:tblGridChange w:id="0">
          <w:tblGrid>
            <w:gridCol w:w="2230.92355373257"/>
            <w:gridCol w:w="2230.92355373257"/>
            <w:gridCol w:w="2230.92355373257"/>
            <w:gridCol w:w="2388.8676864847816"/>
            <w:gridCol w:w="2085.5194088359203"/>
            <w:gridCol w:w="2085.5194088359203"/>
          </w:tblGrid>
        </w:tblGridChange>
      </w:tblGrid>
      <w:tr>
        <w:trPr>
          <w:cantSplit w:val="0"/>
          <w:trHeight w:val="794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48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480" w:lineRule="auto"/>
              <w:ind w:left="0" w:firstLine="0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1x Intel®Pentium 4 (o equivalente)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2c2a29"/>
                <w:sz w:val="24"/>
                <w:szCs w:val="24"/>
                <w:highlight w:val="white"/>
                <w:rtl w:val="0"/>
              </w:rPr>
              <w:t xml:space="preserve">2Ghz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c2a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480" w:lineRule="auto"/>
              <w:ind w:left="0" w:firstLine="0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2c2a29"/>
                <w:sz w:val="24"/>
                <w:szCs w:val="24"/>
                <w:highlight w:val="white"/>
                <w:rtl w:val="0"/>
              </w:rPr>
              <w:t xml:space="preserve">2GB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c2a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 Duro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480" w:lineRule="auto"/>
              <w:ind w:left="0" w:firstLine="0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Partición del sistema 0.5GB Partición de datos 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2c2a29"/>
                <w:sz w:val="24"/>
                <w:szCs w:val="24"/>
                <w:highlight w:val="white"/>
                <w:rtl w:val="0"/>
              </w:rPr>
              <w:t xml:space="preserve">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c2a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Pantalla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480" w:lineRule="auto"/>
              <w:ind w:left="0" w:firstLine="0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640×480 con 256 colores o superior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2c2a29"/>
                <w:sz w:val="24"/>
                <w:szCs w:val="24"/>
                <w:highlight w:val="white"/>
                <w:rtl w:val="0"/>
              </w:rPr>
              <w:t xml:space="preserve">1024 x 768 and 1920 x 1080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c2a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11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4.75"/>
        <w:gridCol w:w="2014.75"/>
        <w:gridCol w:w="2014.75"/>
        <w:gridCol w:w="2014.75"/>
        <w:gridCol w:w="2014.75"/>
        <w:gridCol w:w="2014.75"/>
        <w:gridCol w:w="2014.75"/>
        <w:gridCol w:w="2014.75"/>
        <w:tblGridChange w:id="0">
          <w:tblGrid>
            <w:gridCol w:w="2014.75"/>
            <w:gridCol w:w="2014.75"/>
            <w:gridCol w:w="2014.75"/>
            <w:gridCol w:w="2014.75"/>
            <w:gridCol w:w="2014.75"/>
            <w:gridCol w:w="2014.75"/>
            <w:gridCol w:w="2014.75"/>
            <w:gridCol w:w="2014.75"/>
          </w:tblGrid>
        </w:tblGridChange>
      </w:tblGrid>
      <w:tr>
        <w:trPr>
          <w:cantSplit w:val="0"/>
          <w:trHeight w:val="762.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SAP</w:t>
            </w:r>
          </w:p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NetSuite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Acumatica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Financialforce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nube (windows o mac)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Sistema gestor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Sap HANA Relacional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Oracle NetSuite Data Sourc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Enterprise Management Data &amp; 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Hadoop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ind w:left="0" w:firstLine="0"/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ind w:left="0" w:firstLine="0"/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8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 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Sap Data Ware House Cloud. SaaS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Dynamics AX Data Warehouse. SaaS</w:t>
            </w:r>
          </w:p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NetSuite ODBC, SaaS, PaaS, IaaS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Sage Computing, SaaS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SaaS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ageBreakBefore w:val="0"/>
        <w:rPr/>
      </w:pPr>
      <w:bookmarkStart w:colFirst="0" w:colLast="0" w:name="_177oh51hkryq" w:id="0"/>
      <w:bookmarkEnd w:id="0"/>
      <w:r w:rsidDel="00000000" w:rsidR="00000000" w:rsidRPr="00000000">
        <w:rPr>
          <w:rtl w:val="0"/>
        </w:rPr>
        <w:t xml:space="preserve">Tipo de ERP al mercat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Ramco Systems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Gartner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JD Edwards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Infor LN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Openbravo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Epicor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Ecount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Deacom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 Diferents CRM.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Comparativa dels deu millor segons Capterra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3"/>
        </w:num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Adm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3"/>
        </w:num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Base_CRM</w:t>
        </w:r>
      </w:hyperlink>
      <w:r w:rsidDel="00000000" w:rsidR="00000000" w:rsidRPr="00000000">
        <w:rPr>
          <w:rtl w:val="0"/>
        </w:rPr>
        <w:t xml:space="preserve"> (en inglés)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3"/>
        </w:num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Bitren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Bitrix24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Caspio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"/>
        </w:num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Finnegans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Freshsales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3"/>
        </w:num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Microsoft Dynamics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Monday.com 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3"/>
        </w:num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NetSuite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Onpipeline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Ontraport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Pipedrive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3"/>
        </w:num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Salesforce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SAP</w:t>
      </w:r>
      <w:r w:rsidDel="00000000" w:rsidR="00000000" w:rsidRPr="00000000">
        <w:rPr>
          <w:rtl w:val="0"/>
        </w:rPr>
        <w:t xml:space="preserve"> como una de las aplicaciones de su </w:t>
      </w:r>
      <w:r w:rsidDel="00000000" w:rsidR="00000000" w:rsidRPr="00000000">
        <w:rPr>
          <w:rtl w:val="0"/>
        </w:rPr>
        <w:t xml:space="preserve">Business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3"/>
        </w:num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Sugar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Vincle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Zadarma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Dynamics AX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3">
      <w:pPr>
        <w:pageBreakBefore w:val="0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Microsoft Dynamics AX originariamente fue desarrollado por la compañía danesa Damgaard A/S con el nombre de Axapta. En el año 2002 Damgaard A/S se fusionó con Navision Software A/S, donde terminó llamándose Navision A/S. Axapta, se comercializó en varios países. Microsoft compró Navision A/S en USD 11 millones y cambió el nombre del producto a Microsoft Dynamics AX.</w:t>
      </w:r>
    </w:p>
    <w:p w:rsidR="00000000" w:rsidDel="00000000" w:rsidP="00000000" w:rsidRDefault="00000000" w:rsidRPr="00000000" w14:paraId="000000C4">
      <w:pPr>
        <w:pageBreakBefore w:val="0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Dynamics AX ahora se llama </w:t>
      </w:r>
      <w:r w:rsidDel="00000000" w:rsidR="00000000" w:rsidRPr="00000000">
        <w:rPr>
          <w:b w:val="1"/>
          <w:rtl w:val="0"/>
        </w:rPr>
        <w:t xml:space="preserve">Dynamics 365 for Finance and Operations, On-Premises</w:t>
      </w:r>
      <w:r w:rsidDel="00000000" w:rsidR="00000000" w:rsidRPr="00000000">
        <w:rPr>
          <w:rtl w:val="0"/>
        </w:rPr>
        <w:t xml:space="preserve">. Es una solución de gestión empresarial completa para organizaciones de t</w:t>
      </w:r>
      <w:r w:rsidDel="00000000" w:rsidR="00000000" w:rsidRPr="00000000">
        <w:rPr>
          <w:b w:val="1"/>
          <w:rtl w:val="0"/>
        </w:rPr>
        <w:t xml:space="preserve">amaño medio y grandes</w:t>
      </w:r>
      <w:r w:rsidDel="00000000" w:rsidR="00000000" w:rsidRPr="00000000">
        <w:rPr>
          <w:rtl w:val="0"/>
        </w:rPr>
        <w:t xml:space="preserve"> organizaciones que trabajan con el conocido software de Microsoft para mejorar la productividad del personal. Dynamics AX se ha creado para facilitar la realización de negocios en diferentes ubicaciones y países.</w:t>
      </w:r>
    </w:p>
    <w:p w:rsidR="00000000" w:rsidDel="00000000" w:rsidP="00000000" w:rsidRDefault="00000000" w:rsidRPr="00000000" w14:paraId="000000C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Dynamics 365está disponible en opciones de implementación en la </w:t>
      </w:r>
      <w:r w:rsidDel="00000000" w:rsidR="00000000" w:rsidRPr="00000000">
        <w:rPr>
          <w:b w:val="1"/>
          <w:rtl w:val="0"/>
        </w:rPr>
        <w:t xml:space="preserve">nube, localesIntroducción ERP </w:t>
      </w:r>
    </w:p>
    <w:p w:rsidR="00000000" w:rsidDel="00000000" w:rsidP="00000000" w:rsidRDefault="00000000" w:rsidRPr="00000000" w14:paraId="000000C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Introduccion CRM </w:t>
      </w:r>
    </w:p>
    <w:p w:rsidR="00000000" w:rsidDel="00000000" w:rsidP="00000000" w:rsidRDefault="00000000" w:rsidRPr="00000000" w14:paraId="000000C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Características e híbridas</w:t>
      </w:r>
      <w:r w:rsidDel="00000000" w:rsidR="00000000" w:rsidRPr="00000000">
        <w:rPr>
          <w:rtl w:val="0"/>
        </w:rPr>
        <w:t xml:space="preserve"> que se adaptan a los requisitos cambiantes, cumplen las normativas y maximizan las inversiones existentes.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Microsoft Dynamics </w:t>
      </w:r>
      <w:r w:rsidDel="00000000" w:rsidR="00000000" w:rsidRPr="00000000">
        <w:rPr>
          <w:u w:val="single"/>
          <w:rtl w:val="0"/>
        </w:rPr>
        <w:t xml:space="preserve">consolida y estandariza los procesos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mejorando la visibilidad</w:t>
      </w:r>
      <w:r w:rsidDel="00000000" w:rsidR="00000000" w:rsidRPr="00000000">
        <w:rPr>
          <w:rtl w:val="0"/>
        </w:rPr>
        <w:t xml:space="preserve"> en toda la organización y </w:t>
      </w:r>
      <w:r w:rsidDel="00000000" w:rsidR="00000000" w:rsidRPr="00000000">
        <w:rPr>
          <w:u w:val="single"/>
          <w:rtl w:val="0"/>
        </w:rPr>
        <w:t xml:space="preserve">simplificando</w:t>
      </w:r>
      <w:r w:rsidDel="00000000" w:rsidR="00000000" w:rsidRPr="00000000">
        <w:rPr>
          <w:rtl w:val="0"/>
        </w:rPr>
        <w:t xml:space="preserve"> el cumplimiento.</w:t>
      </w:r>
    </w:p>
    <w:p w:rsidR="00000000" w:rsidDel="00000000" w:rsidP="00000000" w:rsidRDefault="00000000" w:rsidRPr="00000000" w14:paraId="000000C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pueden encontrar diferentes planes de ERP: 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numPr>
          <w:ilvl w:val="0"/>
          <w:numId w:val="1"/>
        </w:numPr>
        <w:spacing w:after="0" w:afterAutospacing="0" w:before="0" w:line="31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Dynamics 365 Finance</w:t>
      </w:r>
      <w:r w:rsidDel="00000000" w:rsidR="00000000" w:rsidRPr="00000000">
        <w:rPr>
          <w:rtl w:val="0"/>
        </w:rPr>
        <w:t xml:space="preserve"> (Finanzas)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Automatiza y moderniza las operaciones financieras globales. Supervisa el rendimiento en tiempo real, predice resultados futuros y ayuda a tomar decisiones basadas en datos reales para impulsar el crecimiento empresarial.  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Dynamics 365 Supply Chain Management </w:t>
      </w:r>
      <w:r w:rsidDel="00000000" w:rsidR="00000000" w:rsidRPr="00000000">
        <w:rPr>
          <w:rtl w:val="0"/>
        </w:rPr>
        <w:t xml:space="preserve">(Gestión de la cadena de suministros): Combine IdC, realidad mixta y IA para mejorar la visibilidad en las operaciones globales y actuar sobre la base de conocimientos predictivos para aumentar la productividad de la cadena de suministro y de fabricación.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numPr>
          <w:ilvl w:val="0"/>
          <w:numId w:val="1"/>
        </w:numPr>
        <w:spacing w:after="0" w:afterAutospacing="0" w:before="0" w:line="31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Dynamics 365 Commerce </w:t>
      </w:r>
      <w:r w:rsidDel="00000000" w:rsidR="00000000" w:rsidRPr="00000000">
        <w:rPr>
          <w:rtl w:val="0"/>
        </w:rPr>
        <w:t xml:space="preserve">(Comercio): Crea experiencias de compra digital y en tienda excepcionales y simplifica la gestión de la tienda.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numPr>
          <w:ilvl w:val="0"/>
          <w:numId w:val="1"/>
        </w:numPr>
        <w:spacing w:after="140" w:before="0" w:line="31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Dynamics 365 Human Resources </w:t>
      </w:r>
      <w:r w:rsidDel="00000000" w:rsidR="00000000" w:rsidRPr="00000000">
        <w:rPr>
          <w:rtl w:val="0"/>
        </w:rPr>
        <w:t xml:space="preserve">(Recursos Humanos): Ayuda a tener éxito con los empleados, optimizar los costes laborales e impulsar una cultura ágil y de alto rendimiento. 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Verdan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  <w:ind w:left="0" w:firstLine="0"/>
    </w:pPr>
    <w:rPr>
      <w:rFonts w:ascii="Trebuchet MS" w:cs="Trebuchet MS" w:eastAsia="Trebuchet MS" w:hAnsi="Trebuchet MS"/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Microsoft_Dynamics" TargetMode="External"/><Relationship Id="rId10" Type="http://schemas.openxmlformats.org/officeDocument/2006/relationships/hyperlink" Target="https://es.wikipedia.org/w/index.php?title=Finnegans&amp;action=edit&amp;redlink=1" TargetMode="External"/><Relationship Id="rId13" Type="http://schemas.openxmlformats.org/officeDocument/2006/relationships/hyperlink" Target="https://es.wikipedia.org/wiki/Salesforce.com" TargetMode="External"/><Relationship Id="rId12" Type="http://schemas.openxmlformats.org/officeDocument/2006/relationships/hyperlink" Target="https://es.wikipedia.org/wiki/NetSu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Bitren_CRM" TargetMode="External"/><Relationship Id="rId14" Type="http://schemas.openxmlformats.org/officeDocument/2006/relationships/hyperlink" Target="https://es.wikipedia.org/wiki/SugarCR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pterra.com/sem-compare/customer-relationship-management-software?gclid=CjwKCAjwiOv7BRBREiwAXHbv3Ft0xqUMNgVWPEKReHqviSVj3K8LN93g8HhEmKF8xOwpE2UwFdUIRxoCxU4QAvD_BwE" TargetMode="External"/><Relationship Id="rId7" Type="http://schemas.openxmlformats.org/officeDocument/2006/relationships/hyperlink" Target="https://es.wikipedia.org/wiki/Adm_Cloud" TargetMode="External"/><Relationship Id="rId8" Type="http://schemas.openxmlformats.org/officeDocument/2006/relationships/hyperlink" Target="https://en.wikipedia.org/wiki/NetSui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