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1" w:rightFromText="181" w:vertAnchor="text" w:horzAnchor="margin" w:tblpXSpec="center" w:tblpY="-1133"/>
        <w:tblW w:w="11266" w:type="dxa"/>
        <w:jc w:val="center"/>
        <w:tblLayout w:type="fixed"/>
        <w:tblLook w:val="04A0" w:firstRow="1" w:lastRow="0" w:firstColumn="1" w:lastColumn="0" w:noHBand="0" w:noVBand="1"/>
      </w:tblPr>
      <w:tblGrid>
        <w:gridCol w:w="3017"/>
        <w:gridCol w:w="5144"/>
        <w:gridCol w:w="2524"/>
        <w:gridCol w:w="581"/>
      </w:tblGrid>
      <w:tr w:rsidR="0044348C" w14:paraId="4ADB9638" w14:textId="77777777">
        <w:trPr>
          <w:trHeight w:val="1069"/>
          <w:jc w:val="center"/>
        </w:trPr>
        <w:tc>
          <w:tcPr>
            <w:tcW w:w="3017" w:type="dxa"/>
            <w:shd w:val="clear" w:color="auto" w:fill="auto"/>
          </w:tcPr>
          <w:p w14:paraId="7A9960AA" w14:textId="77777777" w:rsidR="0044348C" w:rsidRDefault="003209FF">
            <w:pPr>
              <w:pStyle w:val="aff0"/>
              <w:framePr w:hSpace="0" w:wrap="auto" w:vAnchor="margin" w:hAnchor="text" w:yAlign="inline"/>
              <w:rPr>
                <w:color w:val="0E0E0E"/>
              </w:rPr>
            </w:pPr>
            <w:r>
              <w:rPr>
                <w:noProof/>
                <w:color w:val="0E0E0E"/>
              </w:rPr>
              <w:drawing>
                <wp:anchor distT="0" distB="0" distL="114300" distR="114300" simplePos="0" relativeHeight="251663360" behindDoc="0" locked="0" layoutInCell="1" allowOverlap="1" wp14:anchorId="1BED9644" wp14:editId="04AA77B0">
                  <wp:simplePos x="0" y="0"/>
                  <wp:positionH relativeFrom="column">
                    <wp:posOffset>635</wp:posOffset>
                  </wp:positionH>
                  <wp:positionV relativeFrom="paragraph">
                    <wp:posOffset>118745</wp:posOffset>
                  </wp:positionV>
                  <wp:extent cx="1685925" cy="452755"/>
                  <wp:effectExtent l="0" t="0" r="8890" b="4445"/>
                  <wp:wrapNone/>
                  <wp:docPr id="5" name="图片 3" descr="说明: 中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说明: 中泰logo"/>
                          <pic:cNvPicPr>
                            <a:picLocks noChangeAspect="1"/>
                          </pic:cNvPicPr>
                        </pic:nvPicPr>
                        <pic:blipFill>
                          <a:blip r:embed="rId9"/>
                          <a:stretch>
                            <a:fillRect/>
                          </a:stretch>
                        </pic:blipFill>
                        <pic:spPr>
                          <a:xfrm>
                            <a:off x="0" y="0"/>
                            <a:ext cx="1685925" cy="452755"/>
                          </a:xfrm>
                          <a:prstGeom prst="rect">
                            <a:avLst/>
                          </a:prstGeom>
                          <a:noFill/>
                          <a:ln>
                            <a:noFill/>
                          </a:ln>
                        </pic:spPr>
                      </pic:pic>
                    </a:graphicData>
                  </a:graphic>
                </wp:anchor>
              </w:drawing>
            </w:r>
          </w:p>
        </w:tc>
        <w:tc>
          <w:tcPr>
            <w:tcW w:w="8249" w:type="dxa"/>
            <w:gridSpan w:val="3"/>
            <w:shd w:val="clear" w:color="auto" w:fill="FFFFFF"/>
            <w:vAlign w:val="center"/>
          </w:tcPr>
          <w:p w14:paraId="691E4F78" w14:textId="3B0EDF4B" w:rsidR="0044348C" w:rsidRDefault="00587EAF" w:rsidP="00C23684">
            <w:pPr>
              <w:pStyle w:val="aff0"/>
              <w:framePr w:hSpace="0" w:wrap="auto" w:vAnchor="margin" w:hAnchor="text" w:yAlign="inline"/>
              <w:shd w:val="clear" w:color="auto" w:fill="FFFFFF"/>
              <w:jc w:val="center"/>
              <w:rPr>
                <w:rFonts w:hAnsi="楷体"/>
                <w:color w:val="0E0E0E"/>
                <w:w w:val="80"/>
                <w:sz w:val="24"/>
              </w:rPr>
            </w:pPr>
            <w:r>
              <w:rPr>
                <w:rFonts w:ascii="黑体" w:eastAsia="黑体" w:hAnsi="黑体" w:cs="黑体" w:hint="eastAsia"/>
                <w:color w:val="9E1F00"/>
                <w:w w:val="80"/>
                <w:szCs w:val="32"/>
              </w:rPr>
              <w:t>供给</w:t>
            </w:r>
            <w:r w:rsidR="00C23684">
              <w:rPr>
                <w:rFonts w:ascii="黑体" w:eastAsia="黑体" w:hAnsi="黑体" w:cs="黑体" w:hint="eastAsia"/>
                <w:color w:val="9E1F00"/>
                <w:w w:val="80"/>
                <w:szCs w:val="32"/>
              </w:rPr>
              <w:t>冲击</w:t>
            </w:r>
            <w:r w:rsidR="004529A4">
              <w:rPr>
                <w:rFonts w:ascii="黑体" w:eastAsia="黑体" w:hAnsi="黑体" w:cs="黑体" w:hint="eastAsia"/>
                <w:color w:val="9E1F00"/>
                <w:w w:val="80"/>
                <w:szCs w:val="32"/>
              </w:rPr>
              <w:t>不明显</w:t>
            </w:r>
            <w:r>
              <w:rPr>
                <w:rFonts w:ascii="黑体" w:eastAsia="黑体" w:hAnsi="黑体" w:cs="黑体" w:hint="eastAsia"/>
                <w:color w:val="9E1F00"/>
                <w:w w:val="80"/>
                <w:szCs w:val="32"/>
              </w:rPr>
              <w:t>，</w:t>
            </w:r>
            <w:r w:rsidR="0059725C">
              <w:rPr>
                <w:rFonts w:ascii="黑体" w:eastAsia="黑体" w:hAnsi="黑体" w:cs="黑体" w:hint="eastAsia"/>
                <w:color w:val="9E1F00"/>
                <w:w w:val="80"/>
                <w:szCs w:val="32"/>
              </w:rPr>
              <w:t>收益率曲线</w:t>
            </w:r>
            <w:r>
              <w:rPr>
                <w:rFonts w:ascii="黑体" w:eastAsia="黑体" w:hAnsi="黑体" w:cs="黑体" w:hint="eastAsia"/>
                <w:color w:val="9E1F00"/>
                <w:w w:val="80"/>
                <w:szCs w:val="32"/>
              </w:rPr>
              <w:t>走平</w:t>
            </w:r>
          </w:p>
        </w:tc>
      </w:tr>
      <w:tr w:rsidR="0044348C" w14:paraId="026E2638" w14:textId="77777777">
        <w:trPr>
          <w:trHeight w:val="556"/>
          <w:jc w:val="center"/>
        </w:trPr>
        <w:tc>
          <w:tcPr>
            <w:tcW w:w="3017" w:type="dxa"/>
            <w:vAlign w:val="center"/>
          </w:tcPr>
          <w:p w14:paraId="651EC433" w14:textId="77777777" w:rsidR="0044348C" w:rsidRDefault="003209FF">
            <w:pPr>
              <w:pStyle w:val="aff0"/>
              <w:framePr w:hSpace="0" w:wrap="auto" w:vAnchor="margin" w:hAnchor="text" w:yAlign="inline"/>
              <w:spacing w:line="300" w:lineRule="exact"/>
              <w:rPr>
                <w:rFonts w:ascii="黑体" w:eastAsia="黑体" w:hAnsi="黑体"/>
                <w:b w:val="0"/>
                <w:color w:val="0E0E0E"/>
                <w:sz w:val="24"/>
                <w:szCs w:val="24"/>
              </w:rPr>
            </w:pPr>
            <w:r>
              <w:rPr>
                <w:rFonts w:ascii="黑体" w:eastAsia="黑体" w:hAnsi="黑体"/>
                <w:b w:val="0"/>
                <w:color w:val="0E0E0E"/>
                <w:sz w:val="24"/>
                <w:szCs w:val="24"/>
              </w:rPr>
              <w:fldChar w:fldCharType="begin"/>
            </w:r>
            <w:r>
              <w:rPr>
                <w:rFonts w:ascii="黑体" w:eastAsia="黑体" w:hAnsi="黑体"/>
                <w:b w:val="0"/>
                <w:color w:val="0E0E0E"/>
                <w:sz w:val="24"/>
                <w:szCs w:val="24"/>
              </w:rPr>
              <w:instrText>ADDIN DATA industry_name("${stkcode}")</w:instrText>
            </w:r>
            <w:r>
              <w:rPr>
                <w:rFonts w:ascii="黑体" w:eastAsia="黑体" w:hAnsi="黑体"/>
                <w:b w:val="0"/>
                <w:color w:val="0E0E0E"/>
                <w:sz w:val="24"/>
                <w:szCs w:val="24"/>
              </w:rPr>
              <w:fldChar w:fldCharType="end"/>
            </w:r>
          </w:p>
        </w:tc>
        <w:tc>
          <w:tcPr>
            <w:tcW w:w="5144" w:type="dxa"/>
            <w:vAlign w:val="center"/>
          </w:tcPr>
          <w:p w14:paraId="6859BAE8" w14:textId="7F438755" w:rsidR="0044348C" w:rsidRDefault="003209FF">
            <w:pPr>
              <w:pStyle w:val="aff1"/>
              <w:framePr w:hSpace="0" w:wrap="auto" w:vAnchor="margin" w:hAnchor="text" w:yAlign="inline"/>
              <w:jc w:val="left"/>
              <w:rPr>
                <w:rFonts w:ascii="黑体" w:eastAsia="黑体" w:hAnsi="黑体" w:cs="黑体"/>
                <w:b w:val="0"/>
                <w:bCs/>
                <w:color w:val="0E0E0E"/>
                <w:sz w:val="24"/>
                <w:szCs w:val="24"/>
              </w:rPr>
            </w:pPr>
            <w:r>
              <w:rPr>
                <w:rFonts w:ascii="黑体" w:eastAsia="黑体" w:hAnsi="黑体" w:cs="黑体" w:hint="eastAsia"/>
                <w:b w:val="0"/>
                <w:bCs/>
                <w:color w:val="0E0E0E"/>
                <w:w w:val="80"/>
                <w:sz w:val="24"/>
              </w:rPr>
              <w:t>证券研究报告/</w:t>
            </w:r>
            <w:r w:rsidR="00ED5029">
              <w:rPr>
                <w:rFonts w:ascii="黑体" w:eastAsia="黑体" w:hAnsi="黑体" w:cs="黑体" w:hint="eastAsia"/>
                <w:b w:val="0"/>
                <w:bCs/>
                <w:color w:val="0E0E0E"/>
                <w:w w:val="80"/>
                <w:sz w:val="24"/>
              </w:rPr>
              <w:t>利率债</w:t>
            </w:r>
            <w:r>
              <w:rPr>
                <w:rFonts w:ascii="黑体" w:eastAsia="黑体" w:hAnsi="黑体" w:cs="黑体" w:hint="eastAsia"/>
                <w:b w:val="0"/>
                <w:bCs/>
                <w:color w:val="0E0E0E"/>
                <w:w w:val="80"/>
                <w:sz w:val="24"/>
              </w:rPr>
              <w:t>周报</w:t>
            </w:r>
          </w:p>
        </w:tc>
        <w:tc>
          <w:tcPr>
            <w:tcW w:w="3105" w:type="dxa"/>
            <w:gridSpan w:val="2"/>
            <w:vAlign w:val="center"/>
          </w:tcPr>
          <w:p w14:paraId="55644313" w14:textId="098E1E9D" w:rsidR="0044348C" w:rsidRDefault="00993431" w:rsidP="00B104FA">
            <w:pPr>
              <w:pStyle w:val="aff1"/>
              <w:framePr w:hSpace="0" w:wrap="auto" w:vAnchor="margin" w:hAnchor="text" w:yAlign="inline"/>
              <w:jc w:val="both"/>
              <w:rPr>
                <w:rFonts w:ascii="黑体" w:eastAsia="黑体" w:hAnsi="黑体" w:cs="黑体"/>
                <w:b w:val="0"/>
                <w:bCs/>
                <w:color w:val="0E0E0E"/>
                <w:sz w:val="24"/>
                <w:szCs w:val="24"/>
              </w:rPr>
            </w:pPr>
            <w:r>
              <w:rPr>
                <w:rFonts w:ascii="黑体" w:eastAsia="黑体" w:hAnsi="黑体" w:cs="黑体"/>
                <w:b w:val="0"/>
                <w:bCs/>
                <w:color w:val="0E0E0E"/>
                <w:w w:val="80"/>
                <w:sz w:val="24"/>
              </w:rPr>
              <w:t>2021</w:t>
            </w:r>
            <w:r w:rsidR="003209FF">
              <w:rPr>
                <w:rFonts w:ascii="黑体" w:eastAsia="黑体" w:hAnsi="黑体" w:cs="黑体" w:hint="eastAsia"/>
                <w:b w:val="0"/>
                <w:bCs/>
                <w:color w:val="0E0E0E"/>
                <w:w w:val="80"/>
                <w:sz w:val="24"/>
              </w:rPr>
              <w:t>年</w:t>
            </w:r>
            <w:r>
              <w:rPr>
                <w:rFonts w:ascii="黑体" w:eastAsia="黑体" w:hAnsi="黑体" w:cs="黑体"/>
                <w:b w:val="0"/>
                <w:bCs/>
                <w:color w:val="0E0E0E"/>
                <w:w w:val="80"/>
                <w:sz w:val="24"/>
              </w:rPr>
              <w:t>0</w:t>
            </w:r>
            <w:r w:rsidR="00FD3EBC">
              <w:rPr>
                <w:rFonts w:ascii="黑体" w:eastAsia="黑体" w:hAnsi="黑体" w:cs="黑体"/>
                <w:b w:val="0"/>
                <w:bCs/>
                <w:color w:val="0E0E0E"/>
                <w:w w:val="80"/>
                <w:sz w:val="24"/>
              </w:rPr>
              <w:t>8</w:t>
            </w:r>
            <w:r w:rsidR="003209FF">
              <w:rPr>
                <w:rFonts w:ascii="黑体" w:eastAsia="黑体" w:hAnsi="黑体" w:cs="黑体" w:hint="eastAsia"/>
                <w:b w:val="0"/>
                <w:bCs/>
                <w:color w:val="0E0E0E"/>
                <w:w w:val="80"/>
                <w:sz w:val="24"/>
              </w:rPr>
              <w:t>月</w:t>
            </w:r>
            <w:r w:rsidR="00E47625">
              <w:rPr>
                <w:rFonts w:ascii="黑体" w:eastAsia="黑体" w:hAnsi="黑体" w:cs="黑体"/>
                <w:b w:val="0"/>
                <w:bCs/>
                <w:color w:val="0E0E0E"/>
                <w:w w:val="80"/>
                <w:sz w:val="24"/>
              </w:rPr>
              <w:t>21</w:t>
            </w:r>
            <w:r w:rsidR="003209FF">
              <w:rPr>
                <w:rFonts w:ascii="黑体" w:eastAsia="黑体" w:hAnsi="黑体" w:cs="黑体" w:hint="eastAsia"/>
                <w:b w:val="0"/>
                <w:bCs/>
                <w:color w:val="0E0E0E"/>
                <w:w w:val="80"/>
                <w:sz w:val="24"/>
              </w:rPr>
              <w:t>日</w:t>
            </w:r>
          </w:p>
        </w:tc>
      </w:tr>
      <w:tr w:rsidR="0044348C" w14:paraId="26B2A782" w14:textId="77777777">
        <w:trPr>
          <w:gridAfter w:val="1"/>
          <w:wAfter w:w="581" w:type="dxa"/>
          <w:trHeight w:hRule="exact" w:val="23"/>
          <w:jc w:val="center"/>
        </w:trPr>
        <w:tc>
          <w:tcPr>
            <w:tcW w:w="10685" w:type="dxa"/>
            <w:gridSpan w:val="3"/>
          </w:tcPr>
          <w:p w14:paraId="56BCDE8D" w14:textId="77777777" w:rsidR="0044348C" w:rsidRDefault="003209FF">
            <w:r>
              <w:rPr>
                <w:rFonts w:hint="eastAsia"/>
              </w:rPr>
              <w:t>[</w:t>
            </w:r>
            <w:proofErr w:type="spellStart"/>
            <w:r>
              <w:rPr>
                <w:rFonts w:hint="eastAsia"/>
              </w:rPr>
              <w:t>Table_Industry</w:t>
            </w:r>
            <w:proofErr w:type="spellEnd"/>
            <w:r>
              <w:rPr>
                <w:rFonts w:hint="eastAsia"/>
              </w:rPr>
              <w:t>]</w:t>
            </w:r>
          </w:p>
        </w:tc>
      </w:tr>
    </w:tbl>
    <w:p w14:paraId="2ED1005E" w14:textId="77777777" w:rsidR="0044348C" w:rsidRDefault="0044348C">
      <w:pPr>
        <w:spacing w:line="60" w:lineRule="exact"/>
      </w:pPr>
    </w:p>
    <w:tbl>
      <w:tblPr>
        <w:tblW w:w="11355" w:type="dxa"/>
        <w:tblInd w:w="-503" w:type="dxa"/>
        <w:tblLayout w:type="fixed"/>
        <w:tblLook w:val="04A0" w:firstRow="1" w:lastRow="0" w:firstColumn="1" w:lastColumn="0" w:noHBand="0" w:noVBand="1"/>
      </w:tblPr>
      <w:tblGrid>
        <w:gridCol w:w="3097"/>
        <w:gridCol w:w="8258"/>
      </w:tblGrid>
      <w:tr w:rsidR="0044348C" w14:paraId="7FC2CEC8" w14:textId="77777777">
        <w:trPr>
          <w:trHeight w:hRule="exact" w:val="23"/>
        </w:trPr>
        <w:tc>
          <w:tcPr>
            <w:tcW w:w="11355" w:type="dxa"/>
            <w:gridSpan w:val="2"/>
          </w:tcPr>
          <w:p w14:paraId="2307DD55" w14:textId="77777777" w:rsidR="0044348C" w:rsidRDefault="003209FF">
            <w:r>
              <w:rPr>
                <w:rFonts w:hint="eastAsia"/>
              </w:rPr>
              <w:t>[</w:t>
            </w:r>
            <w:proofErr w:type="spellStart"/>
            <w:r>
              <w:rPr>
                <w:rFonts w:hint="eastAsia"/>
              </w:rPr>
              <w:t>Table_Main</w:t>
            </w:r>
            <w:proofErr w:type="spellEnd"/>
            <w:r>
              <w:rPr>
                <w:rFonts w:hint="eastAsia"/>
              </w:rPr>
              <w:t>]</w:t>
            </w:r>
          </w:p>
        </w:tc>
      </w:tr>
      <w:tr w:rsidR="0044348C" w14:paraId="66BC8423" w14:textId="77777777">
        <w:trPr>
          <w:trHeight w:val="13279"/>
        </w:trPr>
        <w:tc>
          <w:tcPr>
            <w:tcW w:w="3097" w:type="dxa"/>
            <w:tcBorders>
              <w:right w:val="single" w:sz="2" w:space="0" w:color="9E1F00"/>
            </w:tcBorders>
          </w:tcPr>
          <w:tbl>
            <w:tblPr>
              <w:tblW w:w="2936" w:type="dxa"/>
              <w:tblLayout w:type="fixed"/>
              <w:tblLook w:val="04A0" w:firstRow="1" w:lastRow="0" w:firstColumn="1" w:lastColumn="0" w:noHBand="0" w:noVBand="1"/>
            </w:tblPr>
            <w:tblGrid>
              <w:gridCol w:w="2936"/>
            </w:tblGrid>
            <w:tr w:rsidR="0044348C" w14:paraId="2D1F910E" w14:textId="77777777">
              <w:trPr>
                <w:trHeight w:hRule="exact" w:val="23"/>
              </w:trPr>
              <w:tc>
                <w:tcPr>
                  <w:tcW w:w="2936" w:type="dxa"/>
                  <w:tcBorders>
                    <w:bottom w:val="single" w:sz="12" w:space="0" w:color="9E1F00"/>
                  </w:tcBorders>
                  <w:shd w:val="clear" w:color="auto" w:fill="auto"/>
                </w:tcPr>
                <w:p w14:paraId="6F83C4BE" w14:textId="77777777" w:rsidR="0044348C" w:rsidRDefault="003209FF">
                  <w:pPr>
                    <w:pStyle w:val="aff4"/>
                    <w:jc w:val="both"/>
                    <w:rPr>
                      <w:b/>
                    </w:rPr>
                  </w:pPr>
                  <w:r>
                    <w:rPr>
                      <w:rFonts w:hint="eastAsia"/>
                    </w:rPr>
                    <w:t>[</w:t>
                  </w:r>
                  <w:proofErr w:type="spellStart"/>
                  <w:r>
                    <w:rPr>
                      <w:rFonts w:hint="eastAsia"/>
                    </w:rPr>
                    <w:t>Table_Title</w:t>
                  </w:r>
                  <w:proofErr w:type="spellEnd"/>
                  <w:r>
                    <w:rPr>
                      <w:rFonts w:hint="eastAsia"/>
                    </w:rPr>
                    <w:t>]</w:t>
                  </w:r>
                </w:p>
              </w:tc>
            </w:tr>
            <w:tr w:rsidR="0044348C" w14:paraId="0F74BA66" w14:textId="77777777">
              <w:trPr>
                <w:trHeight w:hRule="exact" w:val="342"/>
              </w:trPr>
              <w:tc>
                <w:tcPr>
                  <w:tcW w:w="2936" w:type="dxa"/>
                  <w:tcBorders>
                    <w:top w:val="single" w:sz="12" w:space="0" w:color="9E1F00"/>
                  </w:tcBorders>
                  <w:shd w:val="clear" w:color="auto" w:fill="auto"/>
                </w:tcPr>
                <w:p w14:paraId="2F0C8C72" w14:textId="0C4422B1" w:rsidR="0044348C" w:rsidRDefault="003209FF">
                  <w:pPr>
                    <w:pStyle w:val="aff4"/>
                    <w:jc w:val="both"/>
                    <w:rPr>
                      <w:b/>
                    </w:rPr>
                  </w:pPr>
                  <w:r>
                    <w:rPr>
                      <w:rFonts w:hint="eastAsia"/>
                      <w:b/>
                    </w:rPr>
                    <w:t>分析师：周岳</w:t>
                  </w:r>
                </w:p>
              </w:tc>
            </w:tr>
            <w:tr w:rsidR="0044348C" w14:paraId="31330E83" w14:textId="77777777">
              <w:trPr>
                <w:trHeight w:hRule="exact" w:val="342"/>
              </w:trPr>
              <w:tc>
                <w:tcPr>
                  <w:tcW w:w="2936" w:type="dxa"/>
                  <w:shd w:val="clear" w:color="auto" w:fill="auto"/>
                </w:tcPr>
                <w:p w14:paraId="0C1F8B63" w14:textId="155CA348" w:rsidR="0044348C" w:rsidRDefault="003209FF">
                  <w:pPr>
                    <w:pStyle w:val="aff4"/>
                    <w:jc w:val="both"/>
                    <w:rPr>
                      <w:b/>
                    </w:rPr>
                  </w:pPr>
                  <w:r>
                    <w:rPr>
                      <w:rFonts w:hint="eastAsia"/>
                      <w:b/>
                    </w:rPr>
                    <w:t>执业证书编号：</w:t>
                  </w:r>
                  <w:r>
                    <w:rPr>
                      <w:rFonts w:hint="eastAsia"/>
                      <w:b/>
                    </w:rPr>
                    <w:t>S0740520100003</w:t>
                  </w:r>
                </w:p>
              </w:tc>
            </w:tr>
            <w:tr w:rsidR="0044348C" w14:paraId="4AE7CED7" w14:textId="77777777">
              <w:trPr>
                <w:trHeight w:hRule="exact" w:val="342"/>
              </w:trPr>
              <w:tc>
                <w:tcPr>
                  <w:tcW w:w="2936" w:type="dxa"/>
                  <w:shd w:val="clear" w:color="auto" w:fill="auto"/>
                </w:tcPr>
                <w:p w14:paraId="770D0E3A" w14:textId="288AC5D3" w:rsidR="0044348C" w:rsidRDefault="003209FF">
                  <w:pPr>
                    <w:pStyle w:val="aff4"/>
                    <w:jc w:val="both"/>
                  </w:pPr>
                  <w:r>
                    <w:rPr>
                      <w:rFonts w:hint="eastAsia"/>
                    </w:rPr>
                    <w:t>邮箱：</w:t>
                  </w:r>
                  <w:r>
                    <w:rPr>
                      <w:rFonts w:hint="eastAsia"/>
                    </w:rPr>
                    <w:t>zhouyue@r.qlzq.com.cn</w:t>
                  </w:r>
                </w:p>
              </w:tc>
            </w:tr>
            <w:tr w:rsidR="0044348C" w14:paraId="50F077CB" w14:textId="77777777">
              <w:trPr>
                <w:trHeight w:hRule="exact" w:val="342"/>
              </w:trPr>
              <w:tc>
                <w:tcPr>
                  <w:tcW w:w="2936" w:type="dxa"/>
                  <w:shd w:val="clear" w:color="auto" w:fill="auto"/>
                </w:tcPr>
                <w:p w14:paraId="39F6ED0A" w14:textId="578877ED" w:rsidR="0044348C" w:rsidRDefault="003209FF">
                  <w:pPr>
                    <w:pStyle w:val="aff4"/>
                    <w:jc w:val="both"/>
                    <w:rPr>
                      <w:b/>
                    </w:rPr>
                  </w:pPr>
                  <w:r>
                    <w:rPr>
                      <w:rFonts w:hint="eastAsia"/>
                      <w:b/>
                    </w:rPr>
                    <w:t>分析师：肖雨</w:t>
                  </w:r>
                </w:p>
              </w:tc>
            </w:tr>
            <w:tr w:rsidR="0044348C" w14:paraId="41F0211D" w14:textId="77777777">
              <w:trPr>
                <w:trHeight w:hRule="exact" w:val="342"/>
              </w:trPr>
              <w:tc>
                <w:tcPr>
                  <w:tcW w:w="2936" w:type="dxa"/>
                  <w:shd w:val="clear" w:color="auto" w:fill="auto"/>
                </w:tcPr>
                <w:p w14:paraId="34307473" w14:textId="6FCCDB9C" w:rsidR="0044348C" w:rsidRPr="003209FF" w:rsidRDefault="003209FF">
                  <w:pPr>
                    <w:pStyle w:val="aff4"/>
                    <w:jc w:val="both"/>
                    <w:rPr>
                      <w:b/>
                    </w:rPr>
                  </w:pPr>
                  <w:r w:rsidRPr="003209FF">
                    <w:rPr>
                      <w:rFonts w:hint="eastAsia"/>
                      <w:b/>
                    </w:rPr>
                    <w:t>执业证书编号：</w:t>
                  </w:r>
                  <w:r w:rsidRPr="003209FF">
                    <w:rPr>
                      <w:rFonts w:hint="eastAsia"/>
                      <w:b/>
                    </w:rPr>
                    <w:t>S0740520110001</w:t>
                  </w:r>
                </w:p>
              </w:tc>
            </w:tr>
            <w:tr w:rsidR="0044348C" w14:paraId="6AAD963E" w14:textId="77777777">
              <w:trPr>
                <w:trHeight w:hRule="exact" w:val="342"/>
              </w:trPr>
              <w:tc>
                <w:tcPr>
                  <w:tcW w:w="2936" w:type="dxa"/>
                  <w:shd w:val="clear" w:color="auto" w:fill="auto"/>
                </w:tcPr>
                <w:p w14:paraId="1FD5DDE0" w14:textId="228F3523" w:rsidR="0044348C" w:rsidRDefault="00FF39A4">
                  <w:pPr>
                    <w:pStyle w:val="aff4"/>
                    <w:jc w:val="both"/>
                  </w:pPr>
                  <w:r>
                    <w:rPr>
                      <w:rFonts w:hint="eastAsia"/>
                    </w:rPr>
                    <w:t>邮箱</w:t>
                  </w:r>
                  <w:r w:rsidR="003209FF">
                    <w:rPr>
                      <w:rFonts w:hint="eastAsia"/>
                    </w:rPr>
                    <w:t>：</w:t>
                  </w:r>
                  <w:r w:rsidR="003209FF">
                    <w:rPr>
                      <w:rFonts w:hint="eastAsia"/>
                    </w:rPr>
                    <w:t>xiaoyu@r.qlzq.com.cn</w:t>
                  </w:r>
                </w:p>
              </w:tc>
            </w:tr>
            <w:tr w:rsidR="0044348C" w14:paraId="5D5D13D5" w14:textId="77777777">
              <w:trPr>
                <w:trHeight w:hRule="exact" w:val="342"/>
              </w:trPr>
              <w:tc>
                <w:tcPr>
                  <w:tcW w:w="2936" w:type="dxa"/>
                  <w:shd w:val="clear" w:color="auto" w:fill="auto"/>
                </w:tcPr>
                <w:p w14:paraId="0C69B5B8" w14:textId="77777777" w:rsidR="0044348C" w:rsidRPr="00225E2E" w:rsidRDefault="00225E2E">
                  <w:pPr>
                    <w:pStyle w:val="aff4"/>
                    <w:jc w:val="both"/>
                    <w:rPr>
                      <w:b/>
                      <w:bCs/>
                      <w:color w:val="000000" w:themeColor="text1"/>
                    </w:rPr>
                  </w:pPr>
                  <w:r w:rsidRPr="00225E2E">
                    <w:rPr>
                      <w:rFonts w:hint="eastAsia"/>
                      <w:b/>
                      <w:bCs/>
                      <w:color w:val="000000" w:themeColor="text1"/>
                    </w:rPr>
                    <w:t>联系人：沈扬</w:t>
                  </w:r>
                </w:p>
                <w:p w14:paraId="051DA55A" w14:textId="4674563F" w:rsidR="00225E2E" w:rsidRPr="00225E2E" w:rsidRDefault="00225E2E">
                  <w:pPr>
                    <w:pStyle w:val="aff4"/>
                    <w:jc w:val="both"/>
                    <w:rPr>
                      <w:color w:val="000000" w:themeColor="text1"/>
                    </w:rPr>
                  </w:pPr>
                  <w:r w:rsidRPr="00225E2E">
                    <w:rPr>
                      <w:rFonts w:hint="eastAsia"/>
                      <w:color w:val="000000" w:themeColor="text1"/>
                    </w:rPr>
                    <w:t>邮箱：</w:t>
                  </w:r>
                </w:p>
              </w:tc>
            </w:tr>
            <w:tr w:rsidR="00225E2E" w14:paraId="7660D9AE" w14:textId="77777777">
              <w:trPr>
                <w:trHeight w:hRule="exact" w:val="342"/>
              </w:trPr>
              <w:tc>
                <w:tcPr>
                  <w:tcW w:w="2936" w:type="dxa"/>
                  <w:shd w:val="clear" w:color="auto" w:fill="auto"/>
                </w:tcPr>
                <w:p w14:paraId="3ADAC914" w14:textId="55C6CD56" w:rsidR="00225E2E" w:rsidRPr="00225E2E" w:rsidRDefault="00225E2E">
                  <w:pPr>
                    <w:pStyle w:val="aff4"/>
                    <w:jc w:val="both"/>
                    <w:rPr>
                      <w:color w:val="000000" w:themeColor="text1"/>
                    </w:rPr>
                  </w:pPr>
                  <w:r>
                    <w:rPr>
                      <w:rFonts w:hint="eastAsia"/>
                      <w:color w:val="000000" w:themeColor="text1"/>
                    </w:rPr>
                    <w:t>邮箱：</w:t>
                  </w:r>
                  <w:r>
                    <w:rPr>
                      <w:rFonts w:hint="eastAsia"/>
                      <w:color w:val="000000" w:themeColor="text1"/>
                    </w:rPr>
                    <w:t>shenyang</w:t>
                  </w:r>
                  <w:r>
                    <w:rPr>
                      <w:rFonts w:hint="eastAsia"/>
                    </w:rPr>
                    <w:t>@r.qlzq.com.cn</w:t>
                  </w:r>
                </w:p>
              </w:tc>
            </w:tr>
            <w:tr w:rsidR="00D75FFB" w14:paraId="50F4BA91" w14:textId="77777777">
              <w:trPr>
                <w:trHeight w:hRule="exact" w:val="342"/>
              </w:trPr>
              <w:tc>
                <w:tcPr>
                  <w:tcW w:w="2936" w:type="dxa"/>
                  <w:shd w:val="clear" w:color="auto" w:fill="auto"/>
                </w:tcPr>
                <w:p w14:paraId="70B0FD5D" w14:textId="77777777" w:rsidR="00D75FFB" w:rsidRDefault="00D75FFB">
                  <w:pPr>
                    <w:pStyle w:val="aff4"/>
                    <w:jc w:val="both"/>
                    <w:rPr>
                      <w:color w:val="000000" w:themeColor="text1"/>
                    </w:rPr>
                  </w:pPr>
                </w:p>
              </w:tc>
            </w:tr>
            <w:tr w:rsidR="00D75FFB" w14:paraId="5F15A0A0" w14:textId="77777777">
              <w:trPr>
                <w:trHeight w:hRule="exact" w:val="342"/>
              </w:trPr>
              <w:tc>
                <w:tcPr>
                  <w:tcW w:w="2936" w:type="dxa"/>
                  <w:shd w:val="clear" w:color="auto" w:fill="auto"/>
                </w:tcPr>
                <w:p w14:paraId="568C4A92" w14:textId="77777777" w:rsidR="00D75FFB" w:rsidRDefault="00D75FFB">
                  <w:pPr>
                    <w:pStyle w:val="aff4"/>
                    <w:jc w:val="both"/>
                    <w:rPr>
                      <w:color w:val="000000" w:themeColor="text1"/>
                    </w:rPr>
                  </w:pPr>
                </w:p>
              </w:tc>
            </w:tr>
            <w:tr w:rsidR="00225E2E" w14:paraId="2E0F70EB" w14:textId="77777777">
              <w:trPr>
                <w:trHeight w:hRule="exact" w:val="342"/>
              </w:trPr>
              <w:tc>
                <w:tcPr>
                  <w:tcW w:w="2936" w:type="dxa"/>
                  <w:shd w:val="clear" w:color="auto" w:fill="auto"/>
                </w:tcPr>
                <w:p w14:paraId="3C9A2450" w14:textId="77777777" w:rsidR="00225E2E" w:rsidRDefault="00225E2E">
                  <w:pPr>
                    <w:pStyle w:val="aff4"/>
                    <w:jc w:val="both"/>
                  </w:pPr>
                </w:p>
                <w:p w14:paraId="384444C8" w14:textId="01553335" w:rsidR="00D75FFB" w:rsidRPr="00225E2E" w:rsidRDefault="00D75FFB">
                  <w:pPr>
                    <w:pStyle w:val="aff4"/>
                    <w:jc w:val="both"/>
                  </w:pPr>
                </w:p>
              </w:tc>
            </w:tr>
          </w:tbl>
          <w:p w14:paraId="5C518402" w14:textId="77777777" w:rsidR="0044348C" w:rsidRDefault="0044348C">
            <w:pPr>
              <w:spacing w:line="120" w:lineRule="exact"/>
              <w:rPr>
                <w:rFonts w:ascii="宋体" w:eastAsia="宋体" w:hAnsi="宋体"/>
              </w:rPr>
            </w:pPr>
          </w:p>
          <w:tbl>
            <w:tblPr>
              <w:tblpPr w:leftFromText="181" w:rightFromText="181" w:vertAnchor="text" w:tblpY="7"/>
              <w:tblW w:w="3295" w:type="dxa"/>
              <w:tblLayout w:type="fixed"/>
              <w:tblLook w:val="04A0" w:firstRow="1" w:lastRow="0" w:firstColumn="1" w:lastColumn="0" w:noHBand="0" w:noVBand="1"/>
            </w:tblPr>
            <w:tblGrid>
              <w:gridCol w:w="3295"/>
            </w:tblGrid>
            <w:tr w:rsidR="0044348C" w14:paraId="08AEA21A" w14:textId="77777777">
              <w:trPr>
                <w:trHeight w:hRule="exact" w:val="23"/>
              </w:trPr>
              <w:tc>
                <w:tcPr>
                  <w:tcW w:w="3295" w:type="dxa"/>
                  <w:tcBorders>
                    <w:bottom w:val="nil"/>
                  </w:tcBorders>
                </w:tcPr>
                <w:p w14:paraId="3E421865" w14:textId="77777777" w:rsidR="0044348C" w:rsidRDefault="003209FF">
                  <w:r>
                    <w:rPr>
                      <w:rFonts w:hint="eastAsia"/>
                    </w:rPr>
                    <w:t>[</w:t>
                  </w:r>
                  <w:proofErr w:type="spellStart"/>
                  <w:r>
                    <w:rPr>
                      <w:rFonts w:hint="eastAsia"/>
                    </w:rPr>
                    <w:t>Table_Report</w:t>
                  </w:r>
                  <w:proofErr w:type="spellEnd"/>
                  <w:r>
                    <w:rPr>
                      <w:rFonts w:hint="eastAsia"/>
                    </w:rPr>
                    <w:t>]</w:t>
                  </w:r>
                </w:p>
              </w:tc>
            </w:tr>
            <w:tr w:rsidR="0044348C" w14:paraId="0416F28E" w14:textId="77777777">
              <w:trPr>
                <w:trHeight w:hRule="exact" w:val="314"/>
              </w:trPr>
              <w:tc>
                <w:tcPr>
                  <w:tcW w:w="3295" w:type="dxa"/>
                  <w:tcBorders>
                    <w:top w:val="nil"/>
                    <w:left w:val="nil"/>
                    <w:bottom w:val="nil"/>
                    <w:right w:val="nil"/>
                  </w:tcBorders>
                  <w:shd w:val="clear" w:color="auto" w:fill="9E1F00"/>
                </w:tcPr>
                <w:p w14:paraId="2E8D76E5" w14:textId="77777777" w:rsidR="0044348C" w:rsidRDefault="003209FF">
                  <w:pPr>
                    <w:pStyle w:val="af7"/>
                    <w:rPr>
                      <w:color w:val="FFFFFF" w:themeColor="background1"/>
                    </w:rPr>
                  </w:pPr>
                  <w:r>
                    <w:rPr>
                      <w:rFonts w:hint="eastAsia"/>
                      <w:color w:val="FFFFFF" w:themeColor="background1"/>
                    </w:rPr>
                    <w:t>相关报告</w:t>
                  </w:r>
                </w:p>
              </w:tc>
            </w:tr>
          </w:tbl>
          <w:p w14:paraId="27DF9580" w14:textId="77777777" w:rsidR="0044348C" w:rsidRDefault="0044348C">
            <w:pPr>
              <w:spacing w:line="120" w:lineRule="exact"/>
              <w:rPr>
                <w:rFonts w:ascii="宋体" w:eastAsia="宋体" w:hAnsi="宋体"/>
              </w:rPr>
            </w:pPr>
          </w:p>
          <w:p w14:paraId="47772A03" w14:textId="77777777" w:rsidR="0044348C" w:rsidRDefault="0044348C">
            <w:pPr>
              <w:spacing w:line="120" w:lineRule="exact"/>
              <w:rPr>
                <w:rFonts w:ascii="宋体" w:eastAsia="宋体" w:hAnsi="宋体"/>
              </w:rPr>
            </w:pPr>
          </w:p>
        </w:tc>
        <w:tc>
          <w:tcPr>
            <w:tcW w:w="8258" w:type="dxa"/>
            <w:tcBorders>
              <w:left w:val="single" w:sz="2" w:space="0" w:color="9E1F00"/>
            </w:tcBorders>
          </w:tcPr>
          <w:tbl>
            <w:tblPr>
              <w:tblpPr w:leftFromText="181" w:rightFromText="181" w:vertAnchor="text" w:tblpX="-54" w:tblpY="7"/>
              <w:tblW w:w="8205" w:type="dxa"/>
              <w:tblLayout w:type="fixed"/>
              <w:tblLook w:val="04A0" w:firstRow="1" w:lastRow="0" w:firstColumn="1" w:lastColumn="0" w:noHBand="0" w:noVBand="1"/>
            </w:tblPr>
            <w:tblGrid>
              <w:gridCol w:w="8205"/>
            </w:tblGrid>
            <w:tr w:rsidR="0044348C" w14:paraId="574BF633" w14:textId="77777777">
              <w:trPr>
                <w:trHeight w:hRule="exact" w:val="28"/>
              </w:trPr>
              <w:tc>
                <w:tcPr>
                  <w:tcW w:w="8205" w:type="dxa"/>
                  <w:tcBorders>
                    <w:bottom w:val="nil"/>
                  </w:tcBorders>
                  <w:shd w:val="clear" w:color="auto" w:fill="auto"/>
                  <w:vAlign w:val="center"/>
                </w:tcPr>
                <w:p w14:paraId="41939F1D" w14:textId="77777777" w:rsidR="0044348C" w:rsidRDefault="003209FF">
                  <w:r>
                    <w:rPr>
                      <w:rFonts w:hint="eastAsia"/>
                    </w:rPr>
                    <w:t>[</w:t>
                  </w:r>
                  <w:proofErr w:type="spellStart"/>
                  <w:r>
                    <w:t>Table_Summary</w:t>
                  </w:r>
                  <w:proofErr w:type="spellEnd"/>
                  <w:r>
                    <w:rPr>
                      <w:rFonts w:hint="eastAsia"/>
                    </w:rPr>
                    <w:t>]</w:t>
                  </w:r>
                </w:p>
              </w:tc>
            </w:tr>
            <w:tr w:rsidR="0044348C" w14:paraId="2446A20C" w14:textId="77777777">
              <w:trPr>
                <w:trHeight w:hRule="exact" w:val="312"/>
              </w:trPr>
              <w:tc>
                <w:tcPr>
                  <w:tcW w:w="8205" w:type="dxa"/>
                  <w:tcBorders>
                    <w:top w:val="nil"/>
                    <w:left w:val="nil"/>
                    <w:bottom w:val="nil"/>
                    <w:right w:val="nil"/>
                  </w:tcBorders>
                  <w:shd w:val="clear" w:color="auto" w:fill="9E1F00"/>
                  <w:vAlign w:val="center"/>
                </w:tcPr>
                <w:p w14:paraId="1830D421" w14:textId="77777777" w:rsidR="0044348C" w:rsidRDefault="003209FF">
                  <w:pPr>
                    <w:pStyle w:val="af7"/>
                    <w:rPr>
                      <w:color w:val="FFFFFF" w:themeColor="background1"/>
                    </w:rPr>
                  </w:pPr>
                  <w:r>
                    <w:rPr>
                      <w:rFonts w:hint="eastAsia"/>
                      <w:color w:val="FFFFFF" w:themeColor="background1"/>
                    </w:rPr>
                    <w:t>投资要点</w:t>
                  </w:r>
                </w:p>
              </w:tc>
            </w:tr>
            <w:tr w:rsidR="0044348C" w14:paraId="44E9E247" w14:textId="77777777">
              <w:trPr>
                <w:trHeight w:val="11810"/>
              </w:trPr>
              <w:tc>
                <w:tcPr>
                  <w:tcW w:w="8205" w:type="dxa"/>
                  <w:tcBorders>
                    <w:top w:val="nil"/>
                  </w:tcBorders>
                </w:tcPr>
                <w:p w14:paraId="40CDD0A5" w14:textId="57297B99" w:rsidR="00886C82" w:rsidRPr="00886C82" w:rsidRDefault="00886C82" w:rsidP="00886C82">
                  <w:pPr>
                    <w:pStyle w:val="aff5"/>
                    <w:numPr>
                      <w:ilvl w:val="0"/>
                      <w:numId w:val="4"/>
                    </w:numPr>
                    <w:ind w:firstLineChars="0"/>
                    <w:rPr>
                      <w:b/>
                      <w:bCs/>
                      <w:szCs w:val="21"/>
                    </w:rPr>
                  </w:pPr>
                  <w:r w:rsidRPr="00886C82">
                    <w:rPr>
                      <w:rFonts w:hint="eastAsia"/>
                      <w:b/>
                      <w:bCs/>
                      <w:szCs w:val="21"/>
                    </w:rPr>
                    <w:t>本周利率债市场复盘：</w:t>
                  </w:r>
                </w:p>
                <w:p w14:paraId="4B6BD98F" w14:textId="550019B8" w:rsidR="00886C82" w:rsidRPr="00886C82" w:rsidRDefault="00886C82" w:rsidP="00886C82">
                  <w:pPr>
                    <w:ind w:left="420"/>
                    <w:rPr>
                      <w:bCs/>
                      <w:szCs w:val="21"/>
                    </w:rPr>
                  </w:pPr>
                  <w:r w:rsidRPr="00886C82">
                    <w:rPr>
                      <w:rFonts w:hint="eastAsia"/>
                      <w:b/>
                      <w:bCs/>
                      <w:szCs w:val="21"/>
                    </w:rPr>
                    <w:t>一级供给大幅增加，招标情绪维持高位。</w:t>
                  </w:r>
                  <w:r w:rsidRPr="00886C82">
                    <w:rPr>
                      <w:rFonts w:hint="eastAsia"/>
                      <w:bCs/>
                      <w:szCs w:val="21"/>
                    </w:rPr>
                    <w:t>本周利率债总计发行</w:t>
                  </w:r>
                  <w:r w:rsidRPr="00886C82">
                    <w:rPr>
                      <w:rFonts w:hint="eastAsia"/>
                      <w:bCs/>
                      <w:szCs w:val="21"/>
                    </w:rPr>
                    <w:t>6853</w:t>
                  </w:r>
                  <w:r w:rsidRPr="00886C82">
                    <w:rPr>
                      <w:rFonts w:hint="eastAsia"/>
                      <w:bCs/>
                      <w:szCs w:val="21"/>
                    </w:rPr>
                    <w:t>亿元，其中国债</w:t>
                  </w:r>
                  <w:r w:rsidRPr="00886C82">
                    <w:rPr>
                      <w:rFonts w:hint="eastAsia"/>
                      <w:bCs/>
                      <w:szCs w:val="21"/>
                    </w:rPr>
                    <w:t>2032</w:t>
                  </w:r>
                  <w:r w:rsidRPr="00886C82">
                    <w:rPr>
                      <w:rFonts w:hint="eastAsia"/>
                      <w:bCs/>
                      <w:szCs w:val="21"/>
                    </w:rPr>
                    <w:t>亿元，地方债</w:t>
                  </w:r>
                  <w:r w:rsidRPr="00886C82">
                    <w:rPr>
                      <w:rFonts w:hint="eastAsia"/>
                      <w:bCs/>
                      <w:szCs w:val="21"/>
                    </w:rPr>
                    <w:t>3782</w:t>
                  </w:r>
                  <w:r w:rsidRPr="00886C82">
                    <w:rPr>
                      <w:rFonts w:hint="eastAsia"/>
                      <w:bCs/>
                      <w:szCs w:val="21"/>
                    </w:rPr>
                    <w:t>亿元，政金债</w:t>
                  </w:r>
                  <w:r w:rsidRPr="00886C82">
                    <w:rPr>
                      <w:rFonts w:hint="eastAsia"/>
                      <w:bCs/>
                      <w:szCs w:val="21"/>
                    </w:rPr>
                    <w:t>1040</w:t>
                  </w:r>
                  <w:r w:rsidRPr="00886C82">
                    <w:rPr>
                      <w:rFonts w:hint="eastAsia"/>
                      <w:bCs/>
                      <w:szCs w:val="21"/>
                    </w:rPr>
                    <w:t>亿元，本周净融资量为</w:t>
                  </w:r>
                  <w:r w:rsidRPr="00886C82">
                    <w:rPr>
                      <w:rFonts w:hint="eastAsia"/>
                      <w:bCs/>
                      <w:szCs w:val="21"/>
                    </w:rPr>
                    <w:t>5418</w:t>
                  </w:r>
                  <w:r w:rsidRPr="00886C82">
                    <w:rPr>
                      <w:rFonts w:hint="eastAsia"/>
                      <w:bCs/>
                      <w:szCs w:val="21"/>
                    </w:rPr>
                    <w:t>亿元，较上周回升</w:t>
                  </w:r>
                  <w:r w:rsidRPr="00886C82">
                    <w:rPr>
                      <w:rFonts w:hint="eastAsia"/>
                      <w:bCs/>
                      <w:szCs w:val="21"/>
                    </w:rPr>
                    <w:t>4126</w:t>
                  </w:r>
                  <w:r w:rsidRPr="00886C82">
                    <w:rPr>
                      <w:rFonts w:hint="eastAsia"/>
                      <w:bCs/>
                      <w:szCs w:val="21"/>
                    </w:rPr>
                    <w:t>亿元。一级市场招标情绪较好，短期限利率债全场倍数较上周普遍回升，中长期限利率债全场倍数维持在较高水平。口行债招标需求较旺，如</w:t>
                  </w:r>
                  <w:r w:rsidRPr="00886C82">
                    <w:rPr>
                      <w:rFonts w:hint="eastAsia"/>
                      <w:bCs/>
                      <w:szCs w:val="21"/>
                    </w:rPr>
                    <w:t>2Y</w:t>
                  </w:r>
                  <w:r w:rsidRPr="00886C82">
                    <w:rPr>
                      <w:rFonts w:hint="eastAsia"/>
                      <w:bCs/>
                      <w:szCs w:val="21"/>
                    </w:rPr>
                    <w:t>、</w:t>
                  </w:r>
                  <w:r w:rsidRPr="00886C82">
                    <w:rPr>
                      <w:rFonts w:hint="eastAsia"/>
                      <w:bCs/>
                      <w:szCs w:val="21"/>
                    </w:rPr>
                    <w:t>3Y</w:t>
                  </w:r>
                  <w:r w:rsidRPr="00886C82">
                    <w:rPr>
                      <w:rFonts w:hint="eastAsia"/>
                      <w:bCs/>
                      <w:szCs w:val="21"/>
                    </w:rPr>
                    <w:t>、</w:t>
                  </w:r>
                  <w:r w:rsidRPr="00886C82">
                    <w:rPr>
                      <w:rFonts w:hint="eastAsia"/>
                      <w:bCs/>
                      <w:szCs w:val="21"/>
                    </w:rPr>
                    <w:t>5Y</w:t>
                  </w:r>
                  <w:r w:rsidRPr="00886C82">
                    <w:rPr>
                      <w:rFonts w:hint="eastAsia"/>
                      <w:bCs/>
                      <w:szCs w:val="21"/>
                    </w:rPr>
                    <w:t>口行债全场倍数均超过</w:t>
                  </w:r>
                  <w:r w:rsidRPr="00886C82">
                    <w:rPr>
                      <w:rFonts w:hint="eastAsia"/>
                      <w:bCs/>
                      <w:szCs w:val="21"/>
                    </w:rPr>
                    <w:t>8</w:t>
                  </w:r>
                  <w:r w:rsidRPr="00886C82">
                    <w:rPr>
                      <w:rFonts w:hint="eastAsia"/>
                      <w:bCs/>
                      <w:szCs w:val="21"/>
                    </w:rPr>
                    <w:t>。</w:t>
                  </w:r>
                </w:p>
                <w:p w14:paraId="7FE78427" w14:textId="77777777" w:rsidR="00886C82" w:rsidRDefault="00886C82" w:rsidP="00886C82">
                  <w:pPr>
                    <w:pStyle w:val="aff5"/>
                    <w:ind w:left="420" w:firstLineChars="0" w:firstLine="0"/>
                    <w:rPr>
                      <w:bCs/>
                      <w:szCs w:val="21"/>
                    </w:rPr>
                  </w:pPr>
                </w:p>
                <w:p w14:paraId="6FC5C3FA" w14:textId="11370006" w:rsidR="00886C82" w:rsidRPr="00886C82" w:rsidRDefault="00886C82" w:rsidP="00886C82">
                  <w:pPr>
                    <w:ind w:left="420"/>
                    <w:rPr>
                      <w:b/>
                      <w:bCs/>
                      <w:szCs w:val="21"/>
                    </w:rPr>
                  </w:pPr>
                  <w:r w:rsidRPr="00886C82">
                    <w:rPr>
                      <w:rFonts w:hint="eastAsia"/>
                      <w:b/>
                      <w:bCs/>
                      <w:szCs w:val="21"/>
                    </w:rPr>
                    <w:t>中长端利率下行，曲线小幅走平。</w:t>
                  </w:r>
                  <w:r w:rsidRPr="00886C82">
                    <w:rPr>
                      <w:rFonts w:hint="eastAsia"/>
                      <w:bCs/>
                      <w:szCs w:val="21"/>
                    </w:rPr>
                    <w:t>周一央行超预期开展</w:t>
                  </w:r>
                  <w:r w:rsidRPr="00886C82">
                    <w:rPr>
                      <w:rFonts w:hint="eastAsia"/>
                      <w:bCs/>
                      <w:szCs w:val="21"/>
                    </w:rPr>
                    <w:t>6000</w:t>
                  </w:r>
                  <w:r w:rsidRPr="00886C82">
                    <w:rPr>
                      <w:rFonts w:hint="eastAsia"/>
                      <w:bCs/>
                      <w:szCs w:val="21"/>
                    </w:rPr>
                    <w:t>亿元</w:t>
                  </w:r>
                  <w:r w:rsidRPr="00886C82">
                    <w:rPr>
                      <w:rFonts w:hint="eastAsia"/>
                      <w:bCs/>
                      <w:szCs w:val="21"/>
                    </w:rPr>
                    <w:t>MLF</w:t>
                  </w:r>
                  <w:r w:rsidRPr="00886C82">
                    <w:rPr>
                      <w:rFonts w:hint="eastAsia"/>
                      <w:bCs/>
                      <w:szCs w:val="21"/>
                    </w:rPr>
                    <w:t>操作，</w:t>
                  </w:r>
                  <w:r w:rsidRPr="00886C82">
                    <w:rPr>
                      <w:rFonts w:hint="eastAsia"/>
                      <w:bCs/>
                      <w:szCs w:val="21"/>
                    </w:rPr>
                    <w:t>7</w:t>
                  </w:r>
                  <w:r w:rsidRPr="00886C82">
                    <w:rPr>
                      <w:rFonts w:hint="eastAsia"/>
                      <w:bCs/>
                      <w:szCs w:val="21"/>
                    </w:rPr>
                    <w:t>月主要经济指标全线走弱，收益率不降反升，可能由于市场对于</w:t>
                  </w:r>
                  <w:r w:rsidRPr="00886C82">
                    <w:rPr>
                      <w:rFonts w:hint="eastAsia"/>
                      <w:bCs/>
                      <w:szCs w:val="21"/>
                    </w:rPr>
                    <w:t>7</w:t>
                  </w:r>
                  <w:r w:rsidRPr="00886C82">
                    <w:rPr>
                      <w:rFonts w:hint="eastAsia"/>
                      <w:bCs/>
                      <w:szCs w:val="21"/>
                    </w:rPr>
                    <w:t>月基本面数据不佳的预期较充分，反而开始担心供给冲击和财政发力带来的利空影响。周二，受避险情绪升温影响，</w:t>
                  </w:r>
                  <w:r w:rsidRPr="00886C82">
                    <w:rPr>
                      <w:rFonts w:hint="eastAsia"/>
                      <w:bCs/>
                      <w:szCs w:val="21"/>
                    </w:rPr>
                    <w:t>210009</w:t>
                  </w:r>
                  <w:r w:rsidRPr="00886C82">
                    <w:rPr>
                      <w:rFonts w:hint="eastAsia"/>
                      <w:bCs/>
                      <w:szCs w:val="21"/>
                    </w:rPr>
                    <w:t>小幅下行。周三，黑色商品期货大幅下跌，流动性宽松驱动叠加一级招标情绪较好，</w:t>
                  </w:r>
                  <w:r w:rsidRPr="00886C82">
                    <w:rPr>
                      <w:rFonts w:hint="eastAsia"/>
                      <w:bCs/>
                      <w:szCs w:val="21"/>
                    </w:rPr>
                    <w:t>210009</w:t>
                  </w:r>
                  <w:r w:rsidRPr="00886C82">
                    <w:rPr>
                      <w:rFonts w:hint="eastAsia"/>
                      <w:bCs/>
                      <w:szCs w:val="21"/>
                    </w:rPr>
                    <w:t>大幅下行</w:t>
                  </w:r>
                  <w:r w:rsidRPr="00886C82">
                    <w:rPr>
                      <w:rFonts w:hint="eastAsia"/>
                      <w:bCs/>
                      <w:szCs w:val="21"/>
                    </w:rPr>
                    <w:t>3.25bp</w:t>
                  </w:r>
                  <w:r w:rsidRPr="00886C82">
                    <w:rPr>
                      <w:rFonts w:hint="eastAsia"/>
                      <w:bCs/>
                      <w:szCs w:val="21"/>
                    </w:rPr>
                    <w:t>。周四，消息面平静，资金面边际趋紧，不过多头情绪延续，</w:t>
                  </w:r>
                  <w:r w:rsidRPr="00886C82">
                    <w:rPr>
                      <w:rFonts w:hint="eastAsia"/>
                      <w:bCs/>
                      <w:szCs w:val="21"/>
                    </w:rPr>
                    <w:t>210009</w:t>
                  </w:r>
                  <w:r w:rsidRPr="00886C82">
                    <w:rPr>
                      <w:rFonts w:hint="eastAsia"/>
                      <w:bCs/>
                      <w:szCs w:val="21"/>
                    </w:rPr>
                    <w:t>当日下行</w:t>
                  </w:r>
                  <w:r w:rsidRPr="00886C82">
                    <w:rPr>
                      <w:rFonts w:hint="eastAsia"/>
                      <w:bCs/>
                      <w:szCs w:val="21"/>
                    </w:rPr>
                    <w:t>1.25bp</w:t>
                  </w:r>
                  <w:r w:rsidRPr="00886C82">
                    <w:rPr>
                      <w:rFonts w:hint="eastAsia"/>
                      <w:bCs/>
                      <w:szCs w:val="21"/>
                    </w:rPr>
                    <w:t>。周五，</w:t>
                  </w:r>
                  <w:r w:rsidRPr="00886C82">
                    <w:rPr>
                      <w:rFonts w:hint="eastAsia"/>
                      <w:bCs/>
                      <w:szCs w:val="21"/>
                    </w:rPr>
                    <w:t>LPR</w:t>
                  </w:r>
                  <w:r w:rsidRPr="00886C82">
                    <w:rPr>
                      <w:rFonts w:hint="eastAsia"/>
                      <w:bCs/>
                      <w:szCs w:val="21"/>
                    </w:rPr>
                    <w:t>报价“按兵不动”，降息预期落空，收益率全线上升。本周，</w:t>
                  </w:r>
                  <w:r w:rsidRPr="00886C82">
                    <w:rPr>
                      <w:rFonts w:hint="eastAsia"/>
                      <w:bCs/>
                      <w:szCs w:val="21"/>
                    </w:rPr>
                    <w:t>1Y</w:t>
                  </w:r>
                  <w:r w:rsidRPr="00886C82">
                    <w:rPr>
                      <w:rFonts w:hint="eastAsia"/>
                      <w:bCs/>
                      <w:szCs w:val="21"/>
                    </w:rPr>
                    <w:t>国债收益率累计上行</w:t>
                  </w:r>
                  <w:r w:rsidRPr="00886C82">
                    <w:rPr>
                      <w:rFonts w:hint="eastAsia"/>
                      <w:bCs/>
                      <w:szCs w:val="21"/>
                    </w:rPr>
                    <w:t>4.73BP</w:t>
                  </w:r>
                  <w:r w:rsidRPr="00886C82">
                    <w:rPr>
                      <w:rFonts w:hint="eastAsia"/>
                      <w:bCs/>
                      <w:szCs w:val="21"/>
                    </w:rPr>
                    <w:t>，</w:t>
                  </w:r>
                  <w:r w:rsidRPr="00886C82">
                    <w:rPr>
                      <w:rFonts w:hint="eastAsia"/>
                      <w:bCs/>
                      <w:szCs w:val="21"/>
                    </w:rPr>
                    <w:t>3Y</w:t>
                  </w:r>
                  <w:r w:rsidRPr="00886C82">
                    <w:rPr>
                      <w:rFonts w:hint="eastAsia"/>
                      <w:bCs/>
                      <w:szCs w:val="21"/>
                    </w:rPr>
                    <w:t>、</w:t>
                  </w:r>
                  <w:r w:rsidRPr="00886C82">
                    <w:rPr>
                      <w:rFonts w:hint="eastAsia"/>
                      <w:bCs/>
                      <w:szCs w:val="21"/>
                    </w:rPr>
                    <w:t>5Y</w:t>
                  </w:r>
                  <w:r w:rsidRPr="00886C82">
                    <w:rPr>
                      <w:rFonts w:hint="eastAsia"/>
                      <w:bCs/>
                      <w:szCs w:val="21"/>
                    </w:rPr>
                    <w:t>、</w:t>
                  </w:r>
                  <w:r w:rsidRPr="00886C82">
                    <w:rPr>
                      <w:rFonts w:hint="eastAsia"/>
                      <w:bCs/>
                      <w:szCs w:val="21"/>
                    </w:rPr>
                    <w:t>7Y</w:t>
                  </w:r>
                  <w:r w:rsidRPr="00886C82">
                    <w:rPr>
                      <w:rFonts w:hint="eastAsia"/>
                      <w:bCs/>
                      <w:szCs w:val="21"/>
                    </w:rPr>
                    <w:t>、</w:t>
                  </w:r>
                  <w:r w:rsidRPr="00886C82">
                    <w:rPr>
                      <w:rFonts w:hint="eastAsia"/>
                      <w:bCs/>
                      <w:szCs w:val="21"/>
                    </w:rPr>
                    <w:t>10Y</w:t>
                  </w:r>
                  <w:r w:rsidRPr="00886C82">
                    <w:rPr>
                      <w:rFonts w:hint="eastAsia"/>
                      <w:bCs/>
                      <w:szCs w:val="21"/>
                    </w:rPr>
                    <w:t>国债收益率分别下行</w:t>
                  </w:r>
                  <w:r w:rsidRPr="00886C82">
                    <w:rPr>
                      <w:rFonts w:hint="eastAsia"/>
                      <w:bCs/>
                      <w:szCs w:val="21"/>
                    </w:rPr>
                    <w:t>1.97BP</w:t>
                  </w:r>
                  <w:r w:rsidRPr="00886C82">
                    <w:rPr>
                      <w:rFonts w:hint="eastAsia"/>
                      <w:bCs/>
                      <w:szCs w:val="21"/>
                    </w:rPr>
                    <w:t>、</w:t>
                  </w:r>
                  <w:r w:rsidRPr="00886C82">
                    <w:rPr>
                      <w:rFonts w:hint="eastAsia"/>
                      <w:bCs/>
                      <w:szCs w:val="21"/>
                    </w:rPr>
                    <w:t>0.86BP</w:t>
                  </w:r>
                  <w:r w:rsidRPr="00886C82">
                    <w:rPr>
                      <w:rFonts w:hint="eastAsia"/>
                      <w:bCs/>
                      <w:szCs w:val="21"/>
                    </w:rPr>
                    <w:t>、</w:t>
                  </w:r>
                  <w:r w:rsidRPr="00886C82">
                    <w:rPr>
                      <w:rFonts w:hint="eastAsia"/>
                      <w:bCs/>
                      <w:szCs w:val="21"/>
                    </w:rPr>
                    <w:t>2.76BP</w:t>
                  </w:r>
                  <w:r w:rsidRPr="00886C82">
                    <w:rPr>
                      <w:rFonts w:hint="eastAsia"/>
                      <w:bCs/>
                      <w:szCs w:val="21"/>
                    </w:rPr>
                    <w:t>、</w:t>
                  </w:r>
                  <w:r w:rsidRPr="00886C82">
                    <w:rPr>
                      <w:rFonts w:hint="eastAsia"/>
                      <w:bCs/>
                      <w:szCs w:val="21"/>
                    </w:rPr>
                    <w:t>2.72BP</w:t>
                  </w:r>
                  <w:r w:rsidRPr="00886C82">
                    <w:rPr>
                      <w:rFonts w:hint="eastAsia"/>
                      <w:bCs/>
                      <w:szCs w:val="21"/>
                    </w:rPr>
                    <w:t>。国开债除</w:t>
                  </w:r>
                  <w:r w:rsidRPr="00886C82">
                    <w:rPr>
                      <w:rFonts w:hint="eastAsia"/>
                      <w:bCs/>
                      <w:szCs w:val="21"/>
                    </w:rPr>
                    <w:t>1Y</w:t>
                  </w:r>
                  <w:r w:rsidRPr="00886C82">
                    <w:rPr>
                      <w:rFonts w:hint="eastAsia"/>
                      <w:bCs/>
                      <w:szCs w:val="21"/>
                    </w:rPr>
                    <w:t>期限上升近</w:t>
                  </w:r>
                  <w:r w:rsidRPr="00886C82">
                    <w:rPr>
                      <w:rFonts w:hint="eastAsia"/>
                      <w:bCs/>
                      <w:szCs w:val="21"/>
                    </w:rPr>
                    <w:t>6BP</w:t>
                  </w:r>
                  <w:r w:rsidRPr="00886C82">
                    <w:rPr>
                      <w:rFonts w:hint="eastAsia"/>
                      <w:bCs/>
                      <w:szCs w:val="21"/>
                    </w:rPr>
                    <w:t>外，其余期限大多小幅下行。国债和国开债</w:t>
                  </w:r>
                  <w:r w:rsidRPr="00886C82">
                    <w:rPr>
                      <w:rFonts w:hint="eastAsia"/>
                      <w:bCs/>
                      <w:szCs w:val="21"/>
                    </w:rPr>
                    <w:t>10Y-1Y</w:t>
                  </w:r>
                  <w:r w:rsidRPr="00886C82">
                    <w:rPr>
                      <w:rFonts w:hint="eastAsia"/>
                      <w:bCs/>
                      <w:szCs w:val="21"/>
                    </w:rPr>
                    <w:t>期限利差明显压缩，</w:t>
                  </w:r>
                  <w:r w:rsidRPr="00886C82">
                    <w:rPr>
                      <w:rFonts w:hint="eastAsia"/>
                      <w:bCs/>
                      <w:szCs w:val="21"/>
                    </w:rPr>
                    <w:t>10Y</w:t>
                  </w:r>
                  <w:r w:rsidRPr="00886C82">
                    <w:rPr>
                      <w:rFonts w:hint="eastAsia"/>
                      <w:bCs/>
                      <w:szCs w:val="21"/>
                    </w:rPr>
                    <w:t>国开债隐含税率下降至</w:t>
                  </w:r>
                  <w:r w:rsidRPr="00886C82">
                    <w:rPr>
                      <w:rFonts w:hint="eastAsia"/>
                      <w:bCs/>
                      <w:szCs w:val="21"/>
                    </w:rPr>
                    <w:t>9.0%</w:t>
                  </w:r>
                  <w:r w:rsidRPr="00886C82">
                    <w:rPr>
                      <w:rFonts w:hint="eastAsia"/>
                      <w:bCs/>
                      <w:szCs w:val="21"/>
                    </w:rPr>
                    <w:t>历史分位数。</w:t>
                  </w:r>
                </w:p>
                <w:p w14:paraId="6CA42CAB" w14:textId="4611ADEB" w:rsidR="001004A9" w:rsidRPr="00D75449" w:rsidRDefault="00247D79" w:rsidP="00D75449">
                  <w:pPr>
                    <w:numPr>
                      <w:ilvl w:val="0"/>
                      <w:numId w:val="4"/>
                    </w:numPr>
                    <w:spacing w:beforeLines="50" w:before="156" w:afterLines="50" w:after="156" w:line="210" w:lineRule="auto"/>
                    <w:rPr>
                      <w:bCs/>
                      <w:szCs w:val="21"/>
                    </w:rPr>
                  </w:pPr>
                  <w:r w:rsidRPr="00D75449">
                    <w:rPr>
                      <w:rFonts w:hint="eastAsia"/>
                      <w:b/>
                      <w:bCs/>
                      <w:szCs w:val="21"/>
                    </w:rPr>
                    <w:t>高频跟踪：</w:t>
                  </w:r>
                  <w:r w:rsidR="00404FB3" w:rsidRPr="00404FB3">
                    <w:rPr>
                      <w:rFonts w:hint="eastAsia"/>
                      <w:b/>
                      <w:bCs/>
                      <w:szCs w:val="21"/>
                    </w:rPr>
                    <w:t>商品房销售续降，大宗商品价格普跌</w:t>
                  </w:r>
                  <w:r w:rsidR="00404FB3">
                    <w:rPr>
                      <w:rFonts w:hint="eastAsia"/>
                      <w:b/>
                      <w:bCs/>
                      <w:szCs w:val="21"/>
                    </w:rPr>
                    <w:t>。</w:t>
                  </w:r>
                  <w:r w:rsidRPr="00A41862">
                    <w:rPr>
                      <w:rFonts w:hint="eastAsia"/>
                      <w:szCs w:val="21"/>
                    </w:rPr>
                    <w:t>生产方面，</w:t>
                  </w:r>
                  <w:r w:rsidR="003F25EA" w:rsidRPr="00A41862">
                    <w:rPr>
                      <w:rFonts w:hint="eastAsia"/>
                      <w:szCs w:val="21"/>
                    </w:rPr>
                    <w:t>唐山高炉开工率</w:t>
                  </w:r>
                  <w:r w:rsidR="00971467" w:rsidRPr="00A41862">
                    <w:rPr>
                      <w:rFonts w:hint="eastAsia"/>
                      <w:szCs w:val="21"/>
                    </w:rPr>
                    <w:t>与产能利用率均回升，</w:t>
                  </w:r>
                  <w:r w:rsidRPr="00A41862">
                    <w:rPr>
                      <w:szCs w:val="21"/>
                    </w:rPr>
                    <w:t>汽车轮胎</w:t>
                  </w:r>
                  <w:r w:rsidR="00971467" w:rsidRPr="00A41862">
                    <w:rPr>
                      <w:rFonts w:hint="eastAsia"/>
                      <w:szCs w:val="21"/>
                    </w:rPr>
                    <w:t>开工率小幅下跌，</w:t>
                  </w:r>
                  <w:r w:rsidRPr="00A41862">
                    <w:rPr>
                      <w:rFonts w:hint="eastAsia"/>
                      <w:szCs w:val="21"/>
                    </w:rPr>
                    <w:t>全钢胎</w:t>
                  </w:r>
                  <w:r w:rsidR="00971467" w:rsidRPr="00A41862">
                    <w:rPr>
                      <w:rFonts w:hint="eastAsia"/>
                      <w:szCs w:val="21"/>
                    </w:rPr>
                    <w:t>和半钢胎分别较上周</w:t>
                  </w:r>
                  <w:r w:rsidRPr="00A41862">
                    <w:rPr>
                      <w:rFonts w:hint="eastAsia"/>
                      <w:szCs w:val="21"/>
                    </w:rPr>
                    <w:t>下降</w:t>
                  </w:r>
                  <w:r w:rsidRPr="00A41862">
                    <w:rPr>
                      <w:rFonts w:hint="eastAsia"/>
                      <w:szCs w:val="21"/>
                    </w:rPr>
                    <w:t>2</w:t>
                  </w:r>
                  <w:r w:rsidRPr="00A41862">
                    <w:rPr>
                      <w:szCs w:val="21"/>
                    </w:rPr>
                    <w:t>.52</w:t>
                  </w:r>
                  <w:r w:rsidR="00971467" w:rsidRPr="00A41862">
                    <w:rPr>
                      <w:rFonts w:hint="eastAsia"/>
                      <w:szCs w:val="21"/>
                    </w:rPr>
                    <w:t>和</w:t>
                  </w:r>
                  <w:r w:rsidRPr="00A41862">
                    <w:rPr>
                      <w:rFonts w:hint="eastAsia"/>
                      <w:szCs w:val="21"/>
                    </w:rPr>
                    <w:t>2</w:t>
                  </w:r>
                  <w:r w:rsidRPr="00A41862">
                    <w:rPr>
                      <w:szCs w:val="21"/>
                    </w:rPr>
                    <w:t>.91</w:t>
                  </w:r>
                  <w:r w:rsidRPr="00A41862">
                    <w:rPr>
                      <w:rFonts w:hint="eastAsia"/>
                      <w:szCs w:val="21"/>
                    </w:rPr>
                    <w:t>个百分点，</w:t>
                  </w:r>
                  <w:r w:rsidRPr="00A41862">
                    <w:rPr>
                      <w:rFonts w:hint="eastAsia"/>
                      <w:szCs w:val="21"/>
                    </w:rPr>
                    <w:t>P</w:t>
                  </w:r>
                  <w:r w:rsidRPr="00A41862">
                    <w:rPr>
                      <w:szCs w:val="21"/>
                    </w:rPr>
                    <w:t>TA</w:t>
                  </w:r>
                  <w:r w:rsidRPr="00A41862">
                    <w:rPr>
                      <w:rFonts w:hint="eastAsia"/>
                      <w:szCs w:val="21"/>
                    </w:rPr>
                    <w:t>开工率反弹</w:t>
                  </w:r>
                  <w:r w:rsidRPr="00A41862">
                    <w:rPr>
                      <w:szCs w:val="21"/>
                    </w:rPr>
                    <w:t>3.52</w:t>
                  </w:r>
                  <w:r w:rsidRPr="00A41862">
                    <w:rPr>
                      <w:rFonts w:hint="eastAsia"/>
                      <w:szCs w:val="21"/>
                    </w:rPr>
                    <w:t>个百分点。需求方面，</w:t>
                  </w:r>
                  <w:r w:rsidR="00971467" w:rsidRPr="00A41862">
                    <w:rPr>
                      <w:rFonts w:hint="eastAsia"/>
                      <w:szCs w:val="21"/>
                    </w:rPr>
                    <w:t>商品房销售延续下降态势，成交土地面积大幅下降，汽车销量迎来回升，钢材库存窄幅震荡，进出口指数持续上升。</w:t>
                  </w:r>
                  <w:r w:rsidRPr="00A41862">
                    <w:rPr>
                      <w:rFonts w:hint="eastAsia"/>
                      <w:szCs w:val="21"/>
                    </w:rPr>
                    <w:t>价格方面，</w:t>
                  </w:r>
                  <w:r w:rsidR="00404FB3" w:rsidRPr="00A41862">
                    <w:rPr>
                      <w:rFonts w:hint="eastAsia"/>
                      <w:szCs w:val="21"/>
                    </w:rPr>
                    <w:t>食品与原材料</w:t>
                  </w:r>
                  <w:r w:rsidR="001004A9" w:rsidRPr="00A41862">
                    <w:rPr>
                      <w:rFonts w:hint="eastAsia"/>
                      <w:szCs w:val="21"/>
                    </w:rPr>
                    <w:t>价格</w:t>
                  </w:r>
                  <w:r w:rsidR="00404FB3" w:rsidRPr="00A41862">
                    <w:rPr>
                      <w:rFonts w:hint="eastAsia"/>
                      <w:szCs w:val="21"/>
                    </w:rPr>
                    <w:t>多数</w:t>
                  </w:r>
                  <w:r w:rsidR="00404FB3">
                    <w:rPr>
                      <w:rFonts w:hint="eastAsia"/>
                      <w:szCs w:val="21"/>
                    </w:rPr>
                    <w:t>收跌</w:t>
                  </w:r>
                  <w:r w:rsidR="001004A9" w:rsidRPr="00D75449">
                    <w:rPr>
                      <w:rFonts w:hint="eastAsia"/>
                      <w:szCs w:val="21"/>
                    </w:rPr>
                    <w:t>。</w:t>
                  </w:r>
                  <w:r w:rsidRPr="00D75449">
                    <w:rPr>
                      <w:rFonts w:hint="eastAsia"/>
                      <w:szCs w:val="21"/>
                    </w:rPr>
                    <w:t>布伦特原油和</w:t>
                  </w:r>
                  <w:r w:rsidRPr="00D75449">
                    <w:rPr>
                      <w:szCs w:val="21"/>
                    </w:rPr>
                    <w:t>WTI</w:t>
                  </w:r>
                  <w:r w:rsidRPr="00D75449">
                    <w:rPr>
                      <w:rFonts w:hint="eastAsia"/>
                      <w:szCs w:val="21"/>
                    </w:rPr>
                    <w:t>原油分别下跌</w:t>
                  </w:r>
                  <w:r w:rsidRPr="00D75449">
                    <w:rPr>
                      <w:szCs w:val="21"/>
                    </w:rPr>
                    <w:t>7.66%</w:t>
                  </w:r>
                  <w:r w:rsidRPr="00D75449">
                    <w:rPr>
                      <w:rFonts w:hint="eastAsia"/>
                      <w:szCs w:val="21"/>
                    </w:rPr>
                    <w:t>和</w:t>
                  </w:r>
                  <w:r w:rsidRPr="00D75449">
                    <w:rPr>
                      <w:rFonts w:hint="eastAsia"/>
                      <w:szCs w:val="21"/>
                    </w:rPr>
                    <w:t>9</w:t>
                  </w:r>
                  <w:r w:rsidRPr="00D75449">
                    <w:rPr>
                      <w:szCs w:val="21"/>
                    </w:rPr>
                    <w:t>.21%</w:t>
                  </w:r>
                  <w:r w:rsidRPr="00D75449">
                    <w:rPr>
                      <w:rFonts w:hint="eastAsia"/>
                      <w:szCs w:val="21"/>
                    </w:rPr>
                    <w:t>，</w:t>
                  </w:r>
                  <w:r w:rsidRPr="00D75449">
                    <w:rPr>
                      <w:szCs w:val="21"/>
                    </w:rPr>
                    <w:t>LME</w:t>
                  </w:r>
                  <w:r w:rsidRPr="00D75449">
                    <w:rPr>
                      <w:rFonts w:hint="eastAsia"/>
                      <w:szCs w:val="21"/>
                    </w:rPr>
                    <w:t>铜和铝价格环比下跌</w:t>
                  </w:r>
                  <w:r w:rsidRPr="00D75449">
                    <w:rPr>
                      <w:rFonts w:hint="eastAsia"/>
                      <w:szCs w:val="21"/>
                    </w:rPr>
                    <w:t>4</w:t>
                  </w:r>
                  <w:r w:rsidRPr="00D75449">
                    <w:rPr>
                      <w:szCs w:val="21"/>
                    </w:rPr>
                    <w:t>.92%</w:t>
                  </w:r>
                  <w:r w:rsidRPr="00D75449">
                    <w:rPr>
                      <w:rFonts w:hint="eastAsia"/>
                      <w:szCs w:val="21"/>
                    </w:rPr>
                    <w:t>和</w:t>
                  </w:r>
                  <w:r w:rsidRPr="00D75449">
                    <w:rPr>
                      <w:szCs w:val="21"/>
                    </w:rPr>
                    <w:t>2.14%</w:t>
                  </w:r>
                  <w:r w:rsidRPr="00D75449">
                    <w:rPr>
                      <w:rFonts w:hint="eastAsia"/>
                      <w:szCs w:val="21"/>
                    </w:rPr>
                    <w:t>。国内方面，大宗商品价格呈下跌趋势，</w:t>
                  </w:r>
                  <w:proofErr w:type="spellStart"/>
                  <w:r w:rsidRPr="00D75449">
                    <w:rPr>
                      <w:szCs w:val="21"/>
                    </w:rPr>
                    <w:t>Myspic</w:t>
                  </w:r>
                  <w:proofErr w:type="spellEnd"/>
                  <w:r w:rsidRPr="00D75449">
                    <w:rPr>
                      <w:rFonts w:hint="eastAsia"/>
                      <w:szCs w:val="21"/>
                    </w:rPr>
                    <w:t>综合钢价指数环比下跌</w:t>
                  </w:r>
                  <w:r w:rsidRPr="00D75449">
                    <w:rPr>
                      <w:rFonts w:hint="eastAsia"/>
                      <w:szCs w:val="21"/>
                    </w:rPr>
                    <w:t>1</w:t>
                  </w:r>
                  <w:r w:rsidRPr="00D75449">
                    <w:rPr>
                      <w:szCs w:val="21"/>
                    </w:rPr>
                    <w:t>.68%</w:t>
                  </w:r>
                  <w:r w:rsidRPr="00D75449">
                    <w:rPr>
                      <w:rFonts w:hint="eastAsia"/>
                      <w:szCs w:val="21"/>
                    </w:rPr>
                    <w:t>，南华工业品指数本周环比下跌</w:t>
                  </w:r>
                  <w:r w:rsidRPr="00D75449">
                    <w:rPr>
                      <w:rFonts w:hint="eastAsia"/>
                      <w:szCs w:val="21"/>
                    </w:rPr>
                    <w:t>3</w:t>
                  </w:r>
                  <w:r w:rsidRPr="00D75449">
                    <w:rPr>
                      <w:szCs w:val="21"/>
                    </w:rPr>
                    <w:t>.48%</w:t>
                  </w:r>
                  <w:r w:rsidRPr="00D75449">
                    <w:rPr>
                      <w:rFonts w:hint="eastAsia"/>
                      <w:szCs w:val="21"/>
                    </w:rPr>
                    <w:t>。长江有色市场铜价由涨转跌，下跌</w:t>
                  </w:r>
                  <w:r w:rsidRPr="00D75449">
                    <w:rPr>
                      <w:rFonts w:hint="eastAsia"/>
                      <w:szCs w:val="21"/>
                    </w:rPr>
                    <w:t>4</w:t>
                  </w:r>
                  <w:r w:rsidRPr="00D75449">
                    <w:rPr>
                      <w:szCs w:val="21"/>
                    </w:rPr>
                    <w:t>.22%</w:t>
                  </w:r>
                  <w:r w:rsidRPr="00D75449">
                    <w:rPr>
                      <w:rFonts w:hint="eastAsia"/>
                      <w:szCs w:val="21"/>
                    </w:rPr>
                    <w:t>。螺纹钢价格环比下跌</w:t>
                  </w:r>
                  <w:r w:rsidRPr="00D75449">
                    <w:rPr>
                      <w:szCs w:val="21"/>
                    </w:rPr>
                    <w:t>2.29%</w:t>
                  </w:r>
                  <w:r w:rsidRPr="00D75449">
                    <w:rPr>
                      <w:rFonts w:hint="eastAsia"/>
                      <w:szCs w:val="21"/>
                    </w:rPr>
                    <w:t>，水泥价格指数</w:t>
                  </w:r>
                  <w:r w:rsidR="0040651D">
                    <w:rPr>
                      <w:rFonts w:hint="eastAsia"/>
                      <w:szCs w:val="21"/>
                    </w:rPr>
                    <w:t>小幅回升</w:t>
                  </w:r>
                  <w:r w:rsidRPr="00D75449">
                    <w:rPr>
                      <w:rFonts w:hint="eastAsia"/>
                      <w:szCs w:val="21"/>
                    </w:rPr>
                    <w:t>1</w:t>
                  </w:r>
                  <w:r w:rsidRPr="00D75449">
                    <w:rPr>
                      <w:szCs w:val="21"/>
                    </w:rPr>
                    <w:t>.59%</w:t>
                  </w:r>
                  <w:r w:rsidRPr="00D75449">
                    <w:rPr>
                      <w:rFonts w:hint="eastAsia"/>
                      <w:szCs w:val="21"/>
                    </w:rPr>
                    <w:t>。铁矿石价格走低，国产矿和进口矿分别下降</w:t>
                  </w:r>
                  <w:r w:rsidRPr="00D75449">
                    <w:rPr>
                      <w:szCs w:val="21"/>
                    </w:rPr>
                    <w:t>2.92%</w:t>
                  </w:r>
                  <w:r w:rsidRPr="00D75449">
                    <w:rPr>
                      <w:rFonts w:hint="eastAsia"/>
                      <w:szCs w:val="21"/>
                    </w:rPr>
                    <w:t>和</w:t>
                  </w:r>
                  <w:r w:rsidRPr="00D75449">
                    <w:rPr>
                      <w:szCs w:val="21"/>
                    </w:rPr>
                    <w:t>16.80%</w:t>
                  </w:r>
                  <w:r w:rsidRPr="00D75449">
                    <w:rPr>
                      <w:rFonts w:hint="eastAsia"/>
                      <w:szCs w:val="21"/>
                    </w:rPr>
                    <w:t>。</w:t>
                  </w:r>
                </w:p>
                <w:p w14:paraId="24BD669A" w14:textId="7F75DF52" w:rsidR="009D5B02" w:rsidRPr="00D75449" w:rsidRDefault="004529A4" w:rsidP="00D75449">
                  <w:pPr>
                    <w:numPr>
                      <w:ilvl w:val="0"/>
                      <w:numId w:val="4"/>
                    </w:numPr>
                    <w:spacing w:beforeLines="50" w:before="156" w:afterLines="50" w:after="156" w:line="210" w:lineRule="auto"/>
                    <w:rPr>
                      <w:szCs w:val="21"/>
                    </w:rPr>
                  </w:pPr>
                  <w:r>
                    <w:rPr>
                      <w:rFonts w:hint="eastAsia"/>
                      <w:b/>
                      <w:bCs/>
                      <w:szCs w:val="21"/>
                    </w:rPr>
                    <w:t>资金面：</w:t>
                  </w:r>
                  <w:r w:rsidR="001004A9" w:rsidRPr="00D75449">
                    <w:rPr>
                      <w:rFonts w:hint="eastAsia"/>
                      <w:b/>
                      <w:bCs/>
                      <w:szCs w:val="21"/>
                    </w:rPr>
                    <w:t>央行维稳流动性，资金利率整体下行</w:t>
                  </w:r>
                  <w:r w:rsidR="004549D1" w:rsidRPr="00D75449">
                    <w:rPr>
                      <w:rFonts w:hint="eastAsia"/>
                      <w:b/>
                      <w:bCs/>
                      <w:szCs w:val="21"/>
                    </w:rPr>
                    <w:t>。</w:t>
                  </w:r>
                  <w:r w:rsidR="009D5B02" w:rsidRPr="00D75449">
                    <w:rPr>
                      <w:rFonts w:hint="eastAsia"/>
                      <w:szCs w:val="21"/>
                    </w:rPr>
                    <w:t>本周资金面整体宽松，</w:t>
                  </w:r>
                  <w:r w:rsidR="009D5B02" w:rsidRPr="00D75449">
                    <w:rPr>
                      <w:rFonts w:hint="eastAsia"/>
                      <w:szCs w:val="21"/>
                    </w:rPr>
                    <w:t>R007</w:t>
                  </w:r>
                  <w:r w:rsidR="009D5B02" w:rsidRPr="00D75449">
                    <w:rPr>
                      <w:rFonts w:hint="eastAsia"/>
                      <w:szCs w:val="21"/>
                    </w:rPr>
                    <w:t>和</w:t>
                  </w:r>
                  <w:r w:rsidR="009D5B02" w:rsidRPr="00D75449">
                    <w:rPr>
                      <w:rFonts w:hint="eastAsia"/>
                      <w:szCs w:val="21"/>
                    </w:rPr>
                    <w:t>DR007</w:t>
                  </w:r>
                  <w:r w:rsidR="009D5B02" w:rsidRPr="00D75449">
                    <w:rPr>
                      <w:rFonts w:hint="eastAsia"/>
                      <w:szCs w:val="21"/>
                    </w:rPr>
                    <w:t>分别下行</w:t>
                  </w:r>
                  <w:r w:rsidR="009D5B02" w:rsidRPr="00D75449">
                    <w:rPr>
                      <w:rFonts w:hint="eastAsia"/>
                      <w:szCs w:val="21"/>
                    </w:rPr>
                    <w:t>7.2BP</w:t>
                  </w:r>
                  <w:r w:rsidR="009D5B02" w:rsidRPr="00D75449">
                    <w:rPr>
                      <w:rFonts w:hint="eastAsia"/>
                      <w:szCs w:val="21"/>
                    </w:rPr>
                    <w:t>、</w:t>
                  </w:r>
                  <w:r w:rsidR="009D5B02" w:rsidRPr="00D75449">
                    <w:rPr>
                      <w:rFonts w:hint="eastAsia"/>
                      <w:szCs w:val="21"/>
                    </w:rPr>
                    <w:t>10.0BP</w:t>
                  </w:r>
                  <w:r w:rsidR="009D5B02" w:rsidRPr="00D75449">
                    <w:rPr>
                      <w:rFonts w:hint="eastAsia"/>
                      <w:szCs w:val="21"/>
                    </w:rPr>
                    <w:t>至</w:t>
                  </w:r>
                  <w:r w:rsidR="009D5B02" w:rsidRPr="00D75449">
                    <w:rPr>
                      <w:rFonts w:hint="eastAsia"/>
                      <w:szCs w:val="21"/>
                    </w:rPr>
                    <w:t>2.14%</w:t>
                  </w:r>
                  <w:r w:rsidR="009D5B02" w:rsidRPr="00D75449">
                    <w:rPr>
                      <w:rFonts w:hint="eastAsia"/>
                      <w:szCs w:val="21"/>
                    </w:rPr>
                    <w:t>和</w:t>
                  </w:r>
                  <w:r w:rsidR="009D5B02" w:rsidRPr="00D75449">
                    <w:rPr>
                      <w:rFonts w:hint="eastAsia"/>
                      <w:szCs w:val="21"/>
                    </w:rPr>
                    <w:t>2.09%</w:t>
                  </w:r>
                  <w:r w:rsidR="009D5B02" w:rsidRPr="00D75449">
                    <w:rPr>
                      <w:rFonts w:hint="eastAsia"/>
                      <w:szCs w:val="21"/>
                    </w:rPr>
                    <w:t>。周一是</w:t>
                  </w:r>
                  <w:r w:rsidR="009D5B02" w:rsidRPr="00D75449">
                    <w:rPr>
                      <w:rFonts w:hint="eastAsia"/>
                      <w:szCs w:val="21"/>
                    </w:rPr>
                    <w:t>8</w:t>
                  </w:r>
                  <w:r w:rsidR="009D5B02" w:rsidRPr="00D75449">
                    <w:rPr>
                      <w:rFonts w:hint="eastAsia"/>
                      <w:szCs w:val="21"/>
                    </w:rPr>
                    <w:t>月缴税截止日，税期过后资金面转松，叠加央行缩量续作</w:t>
                  </w:r>
                  <w:r w:rsidR="009D5B02" w:rsidRPr="00D75449">
                    <w:rPr>
                      <w:rFonts w:hint="eastAsia"/>
                      <w:szCs w:val="21"/>
                    </w:rPr>
                    <w:t>6000</w:t>
                  </w:r>
                  <w:r w:rsidR="009D5B02" w:rsidRPr="00D75449">
                    <w:rPr>
                      <w:rFonts w:hint="eastAsia"/>
                      <w:szCs w:val="21"/>
                    </w:rPr>
                    <w:t>亿元</w:t>
                  </w:r>
                  <w:r w:rsidR="009D5B02" w:rsidRPr="00D75449">
                    <w:rPr>
                      <w:rFonts w:hint="eastAsia"/>
                      <w:szCs w:val="21"/>
                    </w:rPr>
                    <w:t>MLF</w:t>
                  </w:r>
                  <w:r w:rsidR="009D5B02" w:rsidRPr="00D75449">
                    <w:rPr>
                      <w:rFonts w:hint="eastAsia"/>
                      <w:szCs w:val="21"/>
                    </w:rPr>
                    <w:t>超出市场预期，周二</w:t>
                  </w:r>
                  <w:r w:rsidR="0040651D">
                    <w:rPr>
                      <w:rFonts w:hint="eastAsia"/>
                      <w:szCs w:val="21"/>
                    </w:rPr>
                    <w:t>、</w:t>
                  </w:r>
                  <w:r w:rsidR="009D5B02" w:rsidRPr="00D75449">
                    <w:rPr>
                      <w:rFonts w:hint="eastAsia"/>
                      <w:szCs w:val="21"/>
                    </w:rPr>
                    <w:t>周三利率下行；受地方债供给放量影响，周四开始资金利率小幅反弹。</w:t>
                  </w:r>
                  <w:r w:rsidR="0040651D" w:rsidRPr="0040651D">
                    <w:rPr>
                      <w:rFonts w:hint="eastAsia"/>
                      <w:szCs w:val="21"/>
                    </w:rPr>
                    <w:t>周五，</w:t>
                  </w:r>
                  <w:r w:rsidR="0040651D" w:rsidRPr="0040651D">
                    <w:rPr>
                      <w:rFonts w:hint="eastAsia"/>
                      <w:szCs w:val="21"/>
                    </w:rPr>
                    <w:t>DR007</w:t>
                  </w:r>
                  <w:r w:rsidR="0040651D" w:rsidRPr="0040651D">
                    <w:rPr>
                      <w:rFonts w:hint="eastAsia"/>
                      <w:szCs w:val="21"/>
                    </w:rPr>
                    <w:t>与</w:t>
                  </w:r>
                  <w:r w:rsidR="0040651D" w:rsidRPr="0040651D">
                    <w:rPr>
                      <w:rFonts w:hint="eastAsia"/>
                      <w:szCs w:val="21"/>
                    </w:rPr>
                    <w:t>OMO</w:t>
                  </w:r>
                  <w:r w:rsidR="0040651D" w:rsidRPr="0040651D">
                    <w:rPr>
                      <w:rFonts w:hint="eastAsia"/>
                      <w:szCs w:val="21"/>
                    </w:rPr>
                    <w:t>利率的利差为</w:t>
                  </w:r>
                  <w:r w:rsidR="0040651D" w:rsidRPr="0040651D">
                    <w:rPr>
                      <w:rFonts w:hint="eastAsia"/>
                      <w:szCs w:val="21"/>
                    </w:rPr>
                    <w:t>11BP</w:t>
                  </w:r>
                  <w:r w:rsidR="0040651D" w:rsidRPr="0040651D">
                    <w:rPr>
                      <w:rFonts w:hint="eastAsia"/>
                      <w:szCs w:val="21"/>
                    </w:rPr>
                    <w:t>，</w:t>
                  </w:r>
                  <w:r w:rsidR="009D5B02" w:rsidRPr="00D75449">
                    <w:rPr>
                      <w:rFonts w:hint="eastAsia"/>
                      <w:szCs w:val="21"/>
                    </w:rPr>
                    <w:t>1</w:t>
                  </w:r>
                  <w:r w:rsidR="009D5B02" w:rsidRPr="00D75449">
                    <w:rPr>
                      <w:rFonts w:hint="eastAsia"/>
                      <w:szCs w:val="21"/>
                    </w:rPr>
                    <w:t>年期存单利率与</w:t>
                  </w:r>
                  <w:r w:rsidR="009D5B02" w:rsidRPr="00D75449">
                    <w:rPr>
                      <w:rFonts w:hint="eastAsia"/>
                      <w:szCs w:val="21"/>
                    </w:rPr>
                    <w:t>MLF</w:t>
                  </w:r>
                  <w:r w:rsidR="009D5B02" w:rsidRPr="00D75449">
                    <w:rPr>
                      <w:rFonts w:hint="eastAsia"/>
                      <w:szCs w:val="21"/>
                    </w:rPr>
                    <w:t>利率的利差</w:t>
                  </w:r>
                  <w:r w:rsidR="0040651D">
                    <w:rPr>
                      <w:rFonts w:hint="eastAsia"/>
                      <w:szCs w:val="21"/>
                    </w:rPr>
                    <w:t>为</w:t>
                  </w:r>
                  <w:r w:rsidR="009D5B02" w:rsidRPr="00D75449">
                    <w:rPr>
                      <w:rFonts w:hint="eastAsia"/>
                      <w:szCs w:val="21"/>
                    </w:rPr>
                    <w:t>27BP</w:t>
                  </w:r>
                  <w:r w:rsidR="0040651D">
                    <w:rPr>
                      <w:rFonts w:hint="eastAsia"/>
                      <w:szCs w:val="21"/>
                    </w:rPr>
                    <w:t>。</w:t>
                  </w:r>
                  <w:r w:rsidR="009D5B02" w:rsidRPr="00D75449">
                    <w:rPr>
                      <w:rFonts w:hint="eastAsia"/>
                      <w:szCs w:val="21"/>
                    </w:rPr>
                    <w:t>本周银行间质押式回购成交量均值</w:t>
                  </w:r>
                  <w:r w:rsidR="009D5B02" w:rsidRPr="00D75449">
                    <w:rPr>
                      <w:rFonts w:hint="eastAsia"/>
                      <w:szCs w:val="21"/>
                    </w:rPr>
                    <w:t>4.4</w:t>
                  </w:r>
                  <w:r w:rsidR="009D5B02" w:rsidRPr="00D75449">
                    <w:rPr>
                      <w:rFonts w:hint="eastAsia"/>
                      <w:szCs w:val="21"/>
                    </w:rPr>
                    <w:t>万亿元，较上周</w:t>
                  </w:r>
                  <w:r w:rsidR="009D5B02" w:rsidRPr="00D75449">
                    <w:rPr>
                      <w:rFonts w:hint="eastAsia"/>
                      <w:szCs w:val="21"/>
                    </w:rPr>
                    <w:t>4.1</w:t>
                  </w:r>
                  <w:r w:rsidR="009D5B02" w:rsidRPr="00D75449">
                    <w:rPr>
                      <w:rFonts w:hint="eastAsia"/>
                      <w:szCs w:val="21"/>
                    </w:rPr>
                    <w:t>万亿的水平明显回升，显示债市加杠杆情绪</w:t>
                  </w:r>
                  <w:r w:rsidR="00404FB3">
                    <w:rPr>
                      <w:rFonts w:hint="eastAsia"/>
                      <w:szCs w:val="21"/>
                    </w:rPr>
                    <w:t>升温</w:t>
                  </w:r>
                  <w:r w:rsidR="009D5B02" w:rsidRPr="00D75449">
                    <w:rPr>
                      <w:rFonts w:hint="eastAsia"/>
                      <w:szCs w:val="21"/>
                    </w:rPr>
                    <w:t>。</w:t>
                  </w:r>
                </w:p>
                <w:p w14:paraId="6577EDC7" w14:textId="1D67AD45" w:rsidR="00564AF3" w:rsidRPr="00E83B9D" w:rsidRDefault="004549D1" w:rsidP="00D75449">
                  <w:pPr>
                    <w:numPr>
                      <w:ilvl w:val="0"/>
                      <w:numId w:val="4"/>
                    </w:numPr>
                    <w:spacing w:beforeLines="50" w:before="156" w:afterLines="50" w:after="156" w:line="210" w:lineRule="auto"/>
                    <w:rPr>
                      <w:b/>
                      <w:sz w:val="20"/>
                      <w:szCs w:val="20"/>
                    </w:rPr>
                  </w:pPr>
                  <w:r w:rsidRPr="00D75449">
                    <w:rPr>
                      <w:rFonts w:hint="eastAsia"/>
                      <w:b/>
                      <w:szCs w:val="21"/>
                    </w:rPr>
                    <w:t>风险提示：</w:t>
                  </w:r>
                  <w:r w:rsidR="004529A4" w:rsidRPr="004529A4">
                    <w:rPr>
                      <w:rFonts w:hint="eastAsia"/>
                      <w:szCs w:val="21"/>
                    </w:rPr>
                    <w:t>地方债</w:t>
                  </w:r>
                  <w:r w:rsidR="004529A4" w:rsidRPr="004529A4">
                    <w:rPr>
                      <w:szCs w:val="21"/>
                    </w:rPr>
                    <w:t>发行超预期，</w:t>
                  </w:r>
                  <w:r w:rsidRPr="00D75449">
                    <w:rPr>
                      <w:rFonts w:hint="eastAsia"/>
                      <w:bCs/>
                      <w:szCs w:val="21"/>
                    </w:rPr>
                    <w:t>货币政策宽松不及预期，</w:t>
                  </w:r>
                  <w:r w:rsidR="002022EF" w:rsidRPr="00D75449">
                    <w:rPr>
                      <w:rFonts w:hint="eastAsia"/>
                      <w:bCs/>
                      <w:szCs w:val="21"/>
                    </w:rPr>
                    <w:t>利率波动超预期</w:t>
                  </w:r>
                  <w:r w:rsidRPr="00D75449">
                    <w:rPr>
                      <w:rFonts w:hint="eastAsia"/>
                      <w:bCs/>
                      <w:szCs w:val="21"/>
                    </w:rPr>
                    <w:t>。</w:t>
                  </w:r>
                </w:p>
              </w:tc>
            </w:tr>
          </w:tbl>
          <w:p w14:paraId="5B9AA8B7" w14:textId="77777777" w:rsidR="0044348C" w:rsidRDefault="0044348C">
            <w:pPr>
              <w:spacing w:line="120" w:lineRule="exact"/>
              <w:rPr>
                <w:rFonts w:ascii="楷体_GB2312"/>
                <w:b/>
                <w:sz w:val="30"/>
                <w:szCs w:val="30"/>
              </w:rPr>
            </w:pPr>
          </w:p>
          <w:p w14:paraId="57475609" w14:textId="77777777" w:rsidR="0044348C" w:rsidRDefault="0044348C">
            <w:pPr>
              <w:spacing w:line="14" w:lineRule="exact"/>
              <w:rPr>
                <w:rFonts w:ascii="楷体_GB2312"/>
                <w:b/>
                <w:sz w:val="30"/>
                <w:szCs w:val="30"/>
              </w:rPr>
            </w:pPr>
          </w:p>
        </w:tc>
      </w:tr>
    </w:tbl>
    <w:p w14:paraId="2C3E5F40" w14:textId="77777777" w:rsidR="00C25E96" w:rsidRDefault="003209FF">
      <w:pPr>
        <w:pStyle w:val="TemplateDir"/>
        <w:rPr>
          <w:noProof/>
        </w:rPr>
      </w:pPr>
      <w:r>
        <w:br w:type="page"/>
      </w:r>
      <w:bookmarkStart w:id="0" w:name="_Toc267331619"/>
      <w:bookmarkStart w:id="1" w:name="_Toc267332903"/>
      <w:bookmarkStart w:id="2" w:name="_Toc267333943"/>
      <w:bookmarkStart w:id="3" w:name="_Toc267346998"/>
      <w:bookmarkStart w:id="4" w:name="_Toc267332711"/>
      <w:bookmarkStart w:id="5" w:name="_Toc267347195"/>
      <w:bookmarkStart w:id="6" w:name="_Toc267335069"/>
      <w:r>
        <w:rPr>
          <w:rFonts w:hint="eastAsia"/>
        </w:rPr>
        <w:lastRenderedPageBreak/>
        <w:t>内容目录</w:t>
      </w:r>
      <w:r>
        <w:fldChar w:fldCharType="begin"/>
      </w:r>
      <w:r>
        <w:instrText xml:space="preserve"> </w:instrText>
      </w:r>
      <w:r>
        <w:rPr>
          <w:rFonts w:hint="eastAsia"/>
        </w:rPr>
        <w:instrText>TOC \o "1-3" \h \z \u</w:instrText>
      </w:r>
      <w:r>
        <w:instrText xml:space="preserve"> </w:instrText>
      </w:r>
      <w:r>
        <w:fldChar w:fldCharType="separate"/>
      </w:r>
    </w:p>
    <w:p w14:paraId="6FD8E2DA" w14:textId="4B1DA738" w:rsidR="00C25E96" w:rsidRDefault="00C25E96">
      <w:pPr>
        <w:pStyle w:val="TOC1"/>
        <w:rPr>
          <w:rFonts w:asciiTheme="minorHAnsi" w:eastAsiaTheme="minorEastAsia" w:hAnsiTheme="minorHAnsi" w:cstheme="minorBidi"/>
          <w:b w:val="0"/>
          <w:bCs w:val="0"/>
          <w:noProof/>
          <w:color w:val="auto"/>
          <w:szCs w:val="22"/>
        </w:rPr>
      </w:pPr>
      <w:hyperlink w:anchor="_Toc80478230" w:history="1">
        <w:r w:rsidRPr="000F5428">
          <w:rPr>
            <w:rStyle w:val="af1"/>
            <w:noProof/>
          </w:rPr>
          <w:t>一、本周利率债市场复盘</w:t>
        </w:r>
        <w:r>
          <w:rPr>
            <w:noProof/>
            <w:webHidden/>
          </w:rPr>
          <w:tab/>
        </w:r>
        <w:r>
          <w:rPr>
            <w:noProof/>
            <w:webHidden/>
          </w:rPr>
          <w:fldChar w:fldCharType="begin"/>
        </w:r>
        <w:r>
          <w:rPr>
            <w:noProof/>
            <w:webHidden/>
          </w:rPr>
          <w:instrText xml:space="preserve"> PAGEREF _Toc80478230 \h </w:instrText>
        </w:r>
        <w:r>
          <w:rPr>
            <w:noProof/>
            <w:webHidden/>
          </w:rPr>
        </w:r>
        <w:r>
          <w:rPr>
            <w:noProof/>
            <w:webHidden/>
          </w:rPr>
          <w:fldChar w:fldCharType="separate"/>
        </w:r>
        <w:r>
          <w:rPr>
            <w:noProof/>
            <w:webHidden/>
          </w:rPr>
          <w:t>- 3 -</w:t>
        </w:r>
        <w:r>
          <w:rPr>
            <w:noProof/>
            <w:webHidden/>
          </w:rPr>
          <w:fldChar w:fldCharType="end"/>
        </w:r>
      </w:hyperlink>
    </w:p>
    <w:p w14:paraId="6E83C5C5" w14:textId="5806F04F" w:rsidR="00C25E96" w:rsidRDefault="00C25E96">
      <w:pPr>
        <w:pStyle w:val="TOC1"/>
        <w:rPr>
          <w:rFonts w:asciiTheme="minorHAnsi" w:eastAsiaTheme="minorEastAsia" w:hAnsiTheme="minorHAnsi" w:cstheme="minorBidi"/>
          <w:b w:val="0"/>
          <w:bCs w:val="0"/>
          <w:noProof/>
          <w:color w:val="auto"/>
          <w:szCs w:val="22"/>
        </w:rPr>
      </w:pPr>
      <w:hyperlink w:anchor="_Toc80478231" w:history="1">
        <w:r w:rsidRPr="000F5428">
          <w:rPr>
            <w:rStyle w:val="af1"/>
            <w:noProof/>
          </w:rPr>
          <w:t>二、高频跟踪：商品房销售续降，大宗商品价格普跌</w:t>
        </w:r>
        <w:r>
          <w:rPr>
            <w:noProof/>
            <w:webHidden/>
          </w:rPr>
          <w:tab/>
        </w:r>
        <w:r>
          <w:rPr>
            <w:noProof/>
            <w:webHidden/>
          </w:rPr>
          <w:fldChar w:fldCharType="begin"/>
        </w:r>
        <w:r>
          <w:rPr>
            <w:noProof/>
            <w:webHidden/>
          </w:rPr>
          <w:instrText xml:space="preserve"> PAGEREF _Toc80478231 \h </w:instrText>
        </w:r>
        <w:r>
          <w:rPr>
            <w:noProof/>
            <w:webHidden/>
          </w:rPr>
        </w:r>
        <w:r>
          <w:rPr>
            <w:noProof/>
            <w:webHidden/>
          </w:rPr>
          <w:fldChar w:fldCharType="separate"/>
        </w:r>
        <w:r>
          <w:rPr>
            <w:noProof/>
            <w:webHidden/>
          </w:rPr>
          <w:t>- 4 -</w:t>
        </w:r>
        <w:r>
          <w:rPr>
            <w:noProof/>
            <w:webHidden/>
          </w:rPr>
          <w:fldChar w:fldCharType="end"/>
        </w:r>
      </w:hyperlink>
    </w:p>
    <w:p w14:paraId="50470B14" w14:textId="4D05259C" w:rsidR="00C25E96" w:rsidRDefault="00C25E96">
      <w:pPr>
        <w:pStyle w:val="TOC1"/>
        <w:rPr>
          <w:rFonts w:asciiTheme="minorHAnsi" w:eastAsiaTheme="minorEastAsia" w:hAnsiTheme="minorHAnsi" w:cstheme="minorBidi"/>
          <w:b w:val="0"/>
          <w:bCs w:val="0"/>
          <w:noProof/>
          <w:color w:val="auto"/>
          <w:szCs w:val="22"/>
        </w:rPr>
      </w:pPr>
      <w:hyperlink w:anchor="_Toc80478232" w:history="1">
        <w:r w:rsidRPr="000F5428">
          <w:rPr>
            <w:rStyle w:val="af1"/>
            <w:noProof/>
          </w:rPr>
          <w:t>三、资金面：央行维稳流动性，资金利率整体下行</w:t>
        </w:r>
        <w:r>
          <w:rPr>
            <w:noProof/>
            <w:webHidden/>
          </w:rPr>
          <w:tab/>
        </w:r>
        <w:r>
          <w:rPr>
            <w:noProof/>
            <w:webHidden/>
          </w:rPr>
          <w:fldChar w:fldCharType="begin"/>
        </w:r>
        <w:r>
          <w:rPr>
            <w:noProof/>
            <w:webHidden/>
          </w:rPr>
          <w:instrText xml:space="preserve"> PAGEREF _Toc80478232 \h </w:instrText>
        </w:r>
        <w:r>
          <w:rPr>
            <w:noProof/>
            <w:webHidden/>
          </w:rPr>
        </w:r>
        <w:r>
          <w:rPr>
            <w:noProof/>
            <w:webHidden/>
          </w:rPr>
          <w:fldChar w:fldCharType="separate"/>
        </w:r>
        <w:r>
          <w:rPr>
            <w:noProof/>
            <w:webHidden/>
          </w:rPr>
          <w:t>- 7 -</w:t>
        </w:r>
        <w:r>
          <w:rPr>
            <w:noProof/>
            <w:webHidden/>
          </w:rPr>
          <w:fldChar w:fldCharType="end"/>
        </w:r>
      </w:hyperlink>
    </w:p>
    <w:p w14:paraId="021D88BD" w14:textId="77777777" w:rsidR="00C25E96" w:rsidRDefault="003209FF" w:rsidP="003209FF">
      <w:pPr>
        <w:pStyle w:val="TemplateDir"/>
        <w:rPr>
          <w:noProof/>
        </w:rPr>
      </w:pPr>
      <w:r>
        <w:fldChar w:fldCharType="end"/>
      </w:r>
      <w:r>
        <w:rPr>
          <w:rFonts w:hint="eastAsia"/>
        </w:rPr>
        <w:t>图表目录</w:t>
      </w:r>
      <w:r>
        <w:fldChar w:fldCharType="begin"/>
      </w:r>
      <w:r>
        <w:instrText xml:space="preserve"> </w:instrText>
      </w:r>
      <w:r>
        <w:rPr>
          <w:rFonts w:hint="eastAsia"/>
        </w:rPr>
        <w:instrText>TOC \h \z \c "</w:instrText>
      </w:r>
      <w:r>
        <w:rPr>
          <w:rFonts w:hint="eastAsia"/>
        </w:rPr>
        <w:instrText>图表</w:instrText>
      </w:r>
      <w:r>
        <w:rPr>
          <w:rFonts w:hint="eastAsia"/>
        </w:rPr>
        <w:instrText>"</w:instrText>
      </w:r>
      <w:r>
        <w:instrText xml:space="preserve"> </w:instrText>
      </w:r>
      <w:r>
        <w:fldChar w:fldCharType="separate"/>
      </w:r>
    </w:p>
    <w:bookmarkStart w:id="7" w:name="_GoBack"/>
    <w:bookmarkEnd w:id="7"/>
    <w:p w14:paraId="421363A5" w14:textId="79F0D2DB" w:rsidR="00C25E96" w:rsidRDefault="00C25E96">
      <w:pPr>
        <w:pStyle w:val="ac"/>
        <w:rPr>
          <w:rFonts w:asciiTheme="minorHAnsi" w:eastAsiaTheme="minorEastAsia" w:hAnsiTheme="minorHAnsi" w:cstheme="minorBidi"/>
          <w:b w:val="0"/>
          <w:bCs w:val="0"/>
          <w:noProof/>
          <w:color w:val="auto"/>
          <w:szCs w:val="22"/>
        </w:rPr>
      </w:pPr>
      <w:r w:rsidRPr="00294C3F">
        <w:rPr>
          <w:rStyle w:val="af1"/>
          <w:noProof/>
        </w:rPr>
        <w:fldChar w:fldCharType="begin"/>
      </w:r>
      <w:r w:rsidRPr="00294C3F">
        <w:rPr>
          <w:rStyle w:val="af1"/>
          <w:noProof/>
        </w:rPr>
        <w:instrText xml:space="preserve"> </w:instrText>
      </w:r>
      <w:r>
        <w:rPr>
          <w:noProof/>
        </w:rPr>
        <w:instrText>HYPERLINK \l "_Toc80478235"</w:instrText>
      </w:r>
      <w:r w:rsidRPr="00294C3F">
        <w:rPr>
          <w:rStyle w:val="af1"/>
          <w:noProof/>
        </w:rPr>
        <w:instrText xml:space="preserve"> </w:instrText>
      </w:r>
      <w:r w:rsidRPr="00294C3F">
        <w:rPr>
          <w:rStyle w:val="af1"/>
          <w:noProof/>
        </w:rPr>
      </w:r>
      <w:r w:rsidRPr="00294C3F">
        <w:rPr>
          <w:rStyle w:val="af1"/>
          <w:noProof/>
        </w:rPr>
        <w:fldChar w:fldCharType="separate"/>
      </w:r>
      <w:r w:rsidRPr="00294C3F">
        <w:rPr>
          <w:rStyle w:val="af1"/>
          <w:i/>
          <w:noProof/>
        </w:rPr>
        <w:t>图表</w:t>
      </w:r>
      <w:r w:rsidRPr="00294C3F">
        <w:rPr>
          <w:rStyle w:val="af1"/>
          <w:i/>
          <w:noProof/>
        </w:rPr>
        <w:t>1</w:t>
      </w:r>
      <w:r w:rsidRPr="00294C3F">
        <w:rPr>
          <w:rStyle w:val="af1"/>
          <w:i/>
          <w:noProof/>
        </w:rPr>
        <w:t>：利率债发行量与净融资量均回升（亿元）</w:t>
      </w:r>
      <w:r>
        <w:rPr>
          <w:noProof/>
          <w:webHidden/>
        </w:rPr>
        <w:tab/>
      </w:r>
      <w:r>
        <w:rPr>
          <w:noProof/>
          <w:webHidden/>
        </w:rPr>
        <w:fldChar w:fldCharType="begin"/>
      </w:r>
      <w:r>
        <w:rPr>
          <w:noProof/>
          <w:webHidden/>
        </w:rPr>
        <w:instrText xml:space="preserve"> PAGEREF _Toc80478235 \h </w:instrText>
      </w:r>
      <w:r>
        <w:rPr>
          <w:noProof/>
          <w:webHidden/>
        </w:rPr>
      </w:r>
      <w:r>
        <w:rPr>
          <w:noProof/>
          <w:webHidden/>
        </w:rPr>
        <w:fldChar w:fldCharType="separate"/>
      </w:r>
      <w:r>
        <w:rPr>
          <w:noProof/>
          <w:webHidden/>
        </w:rPr>
        <w:t>- 3 -</w:t>
      </w:r>
      <w:r>
        <w:rPr>
          <w:noProof/>
          <w:webHidden/>
        </w:rPr>
        <w:fldChar w:fldCharType="end"/>
      </w:r>
      <w:r w:rsidRPr="00294C3F">
        <w:rPr>
          <w:rStyle w:val="af1"/>
          <w:noProof/>
        </w:rPr>
        <w:fldChar w:fldCharType="end"/>
      </w:r>
    </w:p>
    <w:p w14:paraId="7CE2987E" w14:textId="6292686B" w:rsidR="00C25E96" w:rsidRDefault="00C25E96">
      <w:pPr>
        <w:pStyle w:val="ac"/>
        <w:rPr>
          <w:rFonts w:asciiTheme="minorHAnsi" w:eastAsiaTheme="minorEastAsia" w:hAnsiTheme="minorHAnsi" w:cstheme="minorBidi"/>
          <w:b w:val="0"/>
          <w:bCs w:val="0"/>
          <w:noProof/>
          <w:color w:val="auto"/>
          <w:szCs w:val="22"/>
        </w:rPr>
      </w:pPr>
      <w:hyperlink w:anchor="_Toc80478236" w:history="1">
        <w:r w:rsidRPr="00294C3F">
          <w:rPr>
            <w:rStyle w:val="af1"/>
            <w:i/>
            <w:noProof/>
          </w:rPr>
          <w:t>图表</w:t>
        </w:r>
        <w:r w:rsidRPr="00294C3F">
          <w:rPr>
            <w:rStyle w:val="af1"/>
            <w:i/>
            <w:noProof/>
          </w:rPr>
          <w:t>2</w:t>
        </w:r>
        <w:r w:rsidRPr="00294C3F">
          <w:rPr>
            <w:rStyle w:val="af1"/>
            <w:i/>
            <w:noProof/>
          </w:rPr>
          <w:t>：一级招标情绪维持高位</w:t>
        </w:r>
        <w:r>
          <w:rPr>
            <w:noProof/>
            <w:webHidden/>
          </w:rPr>
          <w:tab/>
        </w:r>
        <w:r>
          <w:rPr>
            <w:noProof/>
            <w:webHidden/>
          </w:rPr>
          <w:fldChar w:fldCharType="begin"/>
        </w:r>
        <w:r>
          <w:rPr>
            <w:noProof/>
            <w:webHidden/>
          </w:rPr>
          <w:instrText xml:space="preserve"> PAGEREF _Toc80478236 \h </w:instrText>
        </w:r>
        <w:r>
          <w:rPr>
            <w:noProof/>
            <w:webHidden/>
          </w:rPr>
        </w:r>
        <w:r>
          <w:rPr>
            <w:noProof/>
            <w:webHidden/>
          </w:rPr>
          <w:fldChar w:fldCharType="separate"/>
        </w:r>
        <w:r>
          <w:rPr>
            <w:noProof/>
            <w:webHidden/>
          </w:rPr>
          <w:t>- 3 -</w:t>
        </w:r>
        <w:r>
          <w:rPr>
            <w:noProof/>
            <w:webHidden/>
          </w:rPr>
          <w:fldChar w:fldCharType="end"/>
        </w:r>
      </w:hyperlink>
    </w:p>
    <w:p w14:paraId="1C010BAB" w14:textId="132A0FEB" w:rsidR="00C25E96" w:rsidRDefault="00C25E96">
      <w:pPr>
        <w:pStyle w:val="ac"/>
        <w:rPr>
          <w:rFonts w:asciiTheme="minorHAnsi" w:eastAsiaTheme="minorEastAsia" w:hAnsiTheme="minorHAnsi" w:cstheme="minorBidi"/>
          <w:b w:val="0"/>
          <w:bCs w:val="0"/>
          <w:noProof/>
          <w:color w:val="auto"/>
          <w:szCs w:val="22"/>
        </w:rPr>
      </w:pPr>
      <w:hyperlink w:anchor="_Toc80478237" w:history="1">
        <w:r w:rsidRPr="00294C3F">
          <w:rPr>
            <w:rStyle w:val="af1"/>
            <w:i/>
            <w:noProof/>
          </w:rPr>
          <w:t>图表</w:t>
        </w:r>
        <w:r w:rsidRPr="00294C3F">
          <w:rPr>
            <w:rStyle w:val="af1"/>
            <w:i/>
            <w:noProof/>
          </w:rPr>
          <w:t>3</w:t>
        </w:r>
        <w:r w:rsidRPr="00294C3F">
          <w:rPr>
            <w:rStyle w:val="af1"/>
            <w:i/>
            <w:noProof/>
          </w:rPr>
          <w:t>：国债各期限收益率变动（</w:t>
        </w:r>
        <w:r w:rsidRPr="00294C3F">
          <w:rPr>
            <w:rStyle w:val="af1"/>
            <w:i/>
            <w:noProof/>
          </w:rPr>
          <w:t>BP</w:t>
        </w:r>
        <w:r w:rsidRPr="00294C3F">
          <w:rPr>
            <w:rStyle w:val="af1"/>
            <w:i/>
            <w:noProof/>
          </w:rPr>
          <w:t>）</w:t>
        </w:r>
        <w:r>
          <w:rPr>
            <w:noProof/>
            <w:webHidden/>
          </w:rPr>
          <w:tab/>
        </w:r>
        <w:r>
          <w:rPr>
            <w:noProof/>
            <w:webHidden/>
          </w:rPr>
          <w:fldChar w:fldCharType="begin"/>
        </w:r>
        <w:r>
          <w:rPr>
            <w:noProof/>
            <w:webHidden/>
          </w:rPr>
          <w:instrText xml:space="preserve"> PAGEREF _Toc80478237 \h </w:instrText>
        </w:r>
        <w:r>
          <w:rPr>
            <w:noProof/>
            <w:webHidden/>
          </w:rPr>
        </w:r>
        <w:r>
          <w:rPr>
            <w:noProof/>
            <w:webHidden/>
          </w:rPr>
          <w:fldChar w:fldCharType="separate"/>
        </w:r>
        <w:r>
          <w:rPr>
            <w:noProof/>
            <w:webHidden/>
          </w:rPr>
          <w:t>- 4 -</w:t>
        </w:r>
        <w:r>
          <w:rPr>
            <w:noProof/>
            <w:webHidden/>
          </w:rPr>
          <w:fldChar w:fldCharType="end"/>
        </w:r>
      </w:hyperlink>
    </w:p>
    <w:p w14:paraId="6F295631" w14:textId="610FF311" w:rsidR="00C25E96" w:rsidRDefault="00C25E96">
      <w:pPr>
        <w:pStyle w:val="ac"/>
        <w:rPr>
          <w:rFonts w:asciiTheme="minorHAnsi" w:eastAsiaTheme="minorEastAsia" w:hAnsiTheme="minorHAnsi" w:cstheme="minorBidi"/>
          <w:b w:val="0"/>
          <w:bCs w:val="0"/>
          <w:noProof/>
          <w:color w:val="auto"/>
          <w:szCs w:val="22"/>
        </w:rPr>
      </w:pPr>
      <w:hyperlink w:anchor="_Toc80478238" w:history="1">
        <w:r w:rsidRPr="00294C3F">
          <w:rPr>
            <w:rStyle w:val="af1"/>
            <w:i/>
            <w:noProof/>
          </w:rPr>
          <w:t>图表</w:t>
        </w:r>
        <w:r w:rsidRPr="00294C3F">
          <w:rPr>
            <w:rStyle w:val="af1"/>
            <w:i/>
            <w:noProof/>
          </w:rPr>
          <w:t>4</w:t>
        </w:r>
        <w:r w:rsidRPr="00294C3F">
          <w:rPr>
            <w:rStyle w:val="af1"/>
            <w:i/>
            <w:noProof/>
          </w:rPr>
          <w:t>：国开债各期限收益率变动（</w:t>
        </w:r>
        <w:r w:rsidRPr="00294C3F">
          <w:rPr>
            <w:rStyle w:val="af1"/>
            <w:i/>
            <w:noProof/>
          </w:rPr>
          <w:t>BP</w:t>
        </w:r>
        <w:r w:rsidRPr="00294C3F">
          <w:rPr>
            <w:rStyle w:val="af1"/>
            <w:i/>
            <w:noProof/>
          </w:rPr>
          <w:t>）</w:t>
        </w:r>
        <w:r>
          <w:rPr>
            <w:noProof/>
            <w:webHidden/>
          </w:rPr>
          <w:tab/>
        </w:r>
        <w:r>
          <w:rPr>
            <w:noProof/>
            <w:webHidden/>
          </w:rPr>
          <w:fldChar w:fldCharType="begin"/>
        </w:r>
        <w:r>
          <w:rPr>
            <w:noProof/>
            <w:webHidden/>
          </w:rPr>
          <w:instrText xml:space="preserve"> PAGEREF _Toc80478238 \h </w:instrText>
        </w:r>
        <w:r>
          <w:rPr>
            <w:noProof/>
            <w:webHidden/>
          </w:rPr>
        </w:r>
        <w:r>
          <w:rPr>
            <w:noProof/>
            <w:webHidden/>
          </w:rPr>
          <w:fldChar w:fldCharType="separate"/>
        </w:r>
        <w:r>
          <w:rPr>
            <w:noProof/>
            <w:webHidden/>
          </w:rPr>
          <w:t>- 4 -</w:t>
        </w:r>
        <w:r>
          <w:rPr>
            <w:noProof/>
            <w:webHidden/>
          </w:rPr>
          <w:fldChar w:fldCharType="end"/>
        </w:r>
      </w:hyperlink>
    </w:p>
    <w:p w14:paraId="1FDC830C" w14:textId="3ECAE26C" w:rsidR="00C25E96" w:rsidRDefault="00C25E96">
      <w:pPr>
        <w:pStyle w:val="ac"/>
        <w:rPr>
          <w:rFonts w:asciiTheme="minorHAnsi" w:eastAsiaTheme="minorEastAsia" w:hAnsiTheme="minorHAnsi" w:cstheme="minorBidi"/>
          <w:b w:val="0"/>
          <w:bCs w:val="0"/>
          <w:noProof/>
          <w:color w:val="auto"/>
          <w:szCs w:val="22"/>
        </w:rPr>
      </w:pPr>
      <w:hyperlink w:anchor="_Toc80478239" w:history="1">
        <w:r w:rsidRPr="00294C3F">
          <w:rPr>
            <w:rStyle w:val="af1"/>
            <w:i/>
            <w:noProof/>
          </w:rPr>
          <w:t>图表</w:t>
        </w:r>
        <w:r w:rsidRPr="00294C3F">
          <w:rPr>
            <w:rStyle w:val="af1"/>
            <w:i/>
            <w:noProof/>
          </w:rPr>
          <w:t>5</w:t>
        </w:r>
        <w:r w:rsidRPr="00294C3F">
          <w:rPr>
            <w:rStyle w:val="af1"/>
            <w:i/>
            <w:noProof/>
          </w:rPr>
          <w:t>：国债、国开债期限利差明显收窄（</w:t>
        </w:r>
        <w:r w:rsidRPr="00294C3F">
          <w:rPr>
            <w:rStyle w:val="af1"/>
            <w:i/>
            <w:noProof/>
          </w:rPr>
          <w:t>BP</w:t>
        </w:r>
        <w:r w:rsidRPr="00294C3F">
          <w:rPr>
            <w:rStyle w:val="af1"/>
            <w:i/>
            <w:noProof/>
          </w:rPr>
          <w:t>）</w:t>
        </w:r>
        <w:r>
          <w:rPr>
            <w:noProof/>
            <w:webHidden/>
          </w:rPr>
          <w:tab/>
        </w:r>
        <w:r>
          <w:rPr>
            <w:noProof/>
            <w:webHidden/>
          </w:rPr>
          <w:fldChar w:fldCharType="begin"/>
        </w:r>
        <w:r>
          <w:rPr>
            <w:noProof/>
            <w:webHidden/>
          </w:rPr>
          <w:instrText xml:space="preserve"> PAGEREF _Toc80478239 \h </w:instrText>
        </w:r>
        <w:r>
          <w:rPr>
            <w:noProof/>
            <w:webHidden/>
          </w:rPr>
        </w:r>
        <w:r>
          <w:rPr>
            <w:noProof/>
            <w:webHidden/>
          </w:rPr>
          <w:fldChar w:fldCharType="separate"/>
        </w:r>
        <w:r>
          <w:rPr>
            <w:noProof/>
            <w:webHidden/>
          </w:rPr>
          <w:t>- 4 -</w:t>
        </w:r>
        <w:r>
          <w:rPr>
            <w:noProof/>
            <w:webHidden/>
          </w:rPr>
          <w:fldChar w:fldCharType="end"/>
        </w:r>
      </w:hyperlink>
    </w:p>
    <w:p w14:paraId="699C36E7" w14:textId="7BF5443C" w:rsidR="00C25E96" w:rsidRDefault="00C25E96">
      <w:pPr>
        <w:pStyle w:val="ac"/>
        <w:rPr>
          <w:rFonts w:asciiTheme="minorHAnsi" w:eastAsiaTheme="minorEastAsia" w:hAnsiTheme="minorHAnsi" w:cstheme="minorBidi"/>
          <w:b w:val="0"/>
          <w:bCs w:val="0"/>
          <w:noProof/>
          <w:color w:val="auto"/>
          <w:szCs w:val="22"/>
        </w:rPr>
      </w:pPr>
      <w:hyperlink w:anchor="_Toc80478240" w:history="1">
        <w:r w:rsidRPr="00294C3F">
          <w:rPr>
            <w:rStyle w:val="af1"/>
            <w:i/>
            <w:noProof/>
          </w:rPr>
          <w:t>图表</w:t>
        </w:r>
        <w:r w:rsidRPr="00294C3F">
          <w:rPr>
            <w:rStyle w:val="af1"/>
            <w:i/>
            <w:noProof/>
          </w:rPr>
          <w:t>6</w:t>
        </w:r>
        <w:r w:rsidRPr="00294C3F">
          <w:rPr>
            <w:rStyle w:val="af1"/>
            <w:i/>
            <w:noProof/>
          </w:rPr>
          <w:t>：</w:t>
        </w:r>
        <w:r w:rsidRPr="00294C3F">
          <w:rPr>
            <w:rStyle w:val="af1"/>
            <w:i/>
            <w:noProof/>
          </w:rPr>
          <w:t>10Y</w:t>
        </w:r>
        <w:r w:rsidRPr="00294C3F">
          <w:rPr>
            <w:rStyle w:val="af1"/>
            <w:i/>
            <w:noProof/>
          </w:rPr>
          <w:t>国开债隐含税率下行（</w:t>
        </w:r>
        <w:r w:rsidRPr="00294C3F">
          <w:rPr>
            <w:rStyle w:val="af1"/>
            <w:i/>
            <w:noProof/>
          </w:rPr>
          <w:t>%</w:t>
        </w:r>
        <w:r w:rsidRPr="00294C3F">
          <w:rPr>
            <w:rStyle w:val="af1"/>
            <w:i/>
            <w:noProof/>
          </w:rPr>
          <w:t>）</w:t>
        </w:r>
        <w:r>
          <w:rPr>
            <w:noProof/>
            <w:webHidden/>
          </w:rPr>
          <w:tab/>
        </w:r>
        <w:r>
          <w:rPr>
            <w:noProof/>
            <w:webHidden/>
          </w:rPr>
          <w:fldChar w:fldCharType="begin"/>
        </w:r>
        <w:r>
          <w:rPr>
            <w:noProof/>
            <w:webHidden/>
          </w:rPr>
          <w:instrText xml:space="preserve"> PAGEREF _Toc80478240 \h </w:instrText>
        </w:r>
        <w:r>
          <w:rPr>
            <w:noProof/>
            <w:webHidden/>
          </w:rPr>
        </w:r>
        <w:r>
          <w:rPr>
            <w:noProof/>
            <w:webHidden/>
          </w:rPr>
          <w:fldChar w:fldCharType="separate"/>
        </w:r>
        <w:r>
          <w:rPr>
            <w:noProof/>
            <w:webHidden/>
          </w:rPr>
          <w:t>- 4 -</w:t>
        </w:r>
        <w:r>
          <w:rPr>
            <w:noProof/>
            <w:webHidden/>
          </w:rPr>
          <w:fldChar w:fldCharType="end"/>
        </w:r>
      </w:hyperlink>
    </w:p>
    <w:p w14:paraId="28F32A10" w14:textId="621D3837" w:rsidR="00C25E96" w:rsidRDefault="00C25E96">
      <w:pPr>
        <w:pStyle w:val="ac"/>
        <w:rPr>
          <w:rFonts w:asciiTheme="minorHAnsi" w:eastAsiaTheme="minorEastAsia" w:hAnsiTheme="minorHAnsi" w:cstheme="minorBidi"/>
          <w:b w:val="0"/>
          <w:bCs w:val="0"/>
          <w:noProof/>
          <w:color w:val="auto"/>
          <w:szCs w:val="22"/>
        </w:rPr>
      </w:pPr>
      <w:hyperlink w:anchor="_Toc80478241" w:history="1">
        <w:r w:rsidRPr="00294C3F">
          <w:rPr>
            <w:rStyle w:val="af1"/>
            <w:i/>
            <w:noProof/>
          </w:rPr>
          <w:t>图表</w:t>
        </w:r>
        <w:r w:rsidRPr="00294C3F">
          <w:rPr>
            <w:rStyle w:val="af1"/>
            <w:i/>
            <w:noProof/>
          </w:rPr>
          <w:t>7</w:t>
        </w:r>
        <w:r w:rsidRPr="00294C3F">
          <w:rPr>
            <w:rStyle w:val="af1"/>
            <w:i/>
            <w:noProof/>
          </w:rPr>
          <w:t>：生产端主要高频数据</w:t>
        </w:r>
        <w:r>
          <w:rPr>
            <w:noProof/>
            <w:webHidden/>
          </w:rPr>
          <w:tab/>
        </w:r>
        <w:r>
          <w:rPr>
            <w:noProof/>
            <w:webHidden/>
          </w:rPr>
          <w:fldChar w:fldCharType="begin"/>
        </w:r>
        <w:r>
          <w:rPr>
            <w:noProof/>
            <w:webHidden/>
          </w:rPr>
          <w:instrText xml:space="preserve"> PAGEREF _Toc80478241 \h </w:instrText>
        </w:r>
        <w:r>
          <w:rPr>
            <w:noProof/>
            <w:webHidden/>
          </w:rPr>
        </w:r>
        <w:r>
          <w:rPr>
            <w:noProof/>
            <w:webHidden/>
          </w:rPr>
          <w:fldChar w:fldCharType="separate"/>
        </w:r>
        <w:r>
          <w:rPr>
            <w:noProof/>
            <w:webHidden/>
          </w:rPr>
          <w:t>- 5 -</w:t>
        </w:r>
        <w:r>
          <w:rPr>
            <w:noProof/>
            <w:webHidden/>
          </w:rPr>
          <w:fldChar w:fldCharType="end"/>
        </w:r>
      </w:hyperlink>
    </w:p>
    <w:p w14:paraId="13A1821B" w14:textId="28056E5F" w:rsidR="00C25E96" w:rsidRDefault="00C25E96">
      <w:pPr>
        <w:pStyle w:val="ac"/>
        <w:rPr>
          <w:rFonts w:asciiTheme="minorHAnsi" w:eastAsiaTheme="minorEastAsia" w:hAnsiTheme="minorHAnsi" w:cstheme="minorBidi"/>
          <w:b w:val="0"/>
          <w:bCs w:val="0"/>
          <w:noProof/>
          <w:color w:val="auto"/>
          <w:szCs w:val="22"/>
        </w:rPr>
      </w:pPr>
      <w:hyperlink w:anchor="_Toc80478242" w:history="1">
        <w:r w:rsidRPr="00294C3F">
          <w:rPr>
            <w:rStyle w:val="af1"/>
            <w:i/>
            <w:noProof/>
          </w:rPr>
          <w:t>图表</w:t>
        </w:r>
        <w:r w:rsidRPr="00294C3F">
          <w:rPr>
            <w:rStyle w:val="af1"/>
            <w:i/>
            <w:noProof/>
          </w:rPr>
          <w:t>8</w:t>
        </w:r>
        <w:r w:rsidRPr="00294C3F">
          <w:rPr>
            <w:rStyle w:val="af1"/>
            <w:i/>
            <w:noProof/>
          </w:rPr>
          <w:t>：需求端主要高频数据</w:t>
        </w:r>
        <w:r>
          <w:rPr>
            <w:noProof/>
            <w:webHidden/>
          </w:rPr>
          <w:tab/>
        </w:r>
        <w:r>
          <w:rPr>
            <w:noProof/>
            <w:webHidden/>
          </w:rPr>
          <w:fldChar w:fldCharType="begin"/>
        </w:r>
        <w:r>
          <w:rPr>
            <w:noProof/>
            <w:webHidden/>
          </w:rPr>
          <w:instrText xml:space="preserve"> PAGEREF _Toc80478242 \h </w:instrText>
        </w:r>
        <w:r>
          <w:rPr>
            <w:noProof/>
            <w:webHidden/>
          </w:rPr>
        </w:r>
        <w:r>
          <w:rPr>
            <w:noProof/>
            <w:webHidden/>
          </w:rPr>
          <w:fldChar w:fldCharType="separate"/>
        </w:r>
        <w:r>
          <w:rPr>
            <w:noProof/>
            <w:webHidden/>
          </w:rPr>
          <w:t>- 6 -</w:t>
        </w:r>
        <w:r>
          <w:rPr>
            <w:noProof/>
            <w:webHidden/>
          </w:rPr>
          <w:fldChar w:fldCharType="end"/>
        </w:r>
      </w:hyperlink>
    </w:p>
    <w:p w14:paraId="3608F491" w14:textId="59566921" w:rsidR="00C25E96" w:rsidRDefault="00C25E96">
      <w:pPr>
        <w:pStyle w:val="ac"/>
        <w:rPr>
          <w:rFonts w:asciiTheme="minorHAnsi" w:eastAsiaTheme="minorEastAsia" w:hAnsiTheme="minorHAnsi" w:cstheme="minorBidi"/>
          <w:b w:val="0"/>
          <w:bCs w:val="0"/>
          <w:noProof/>
          <w:color w:val="auto"/>
          <w:szCs w:val="22"/>
        </w:rPr>
      </w:pPr>
      <w:hyperlink w:anchor="_Toc80478243" w:history="1">
        <w:r w:rsidRPr="00294C3F">
          <w:rPr>
            <w:rStyle w:val="af1"/>
            <w:i/>
            <w:noProof/>
          </w:rPr>
          <w:t>图表</w:t>
        </w:r>
        <w:r w:rsidRPr="00294C3F">
          <w:rPr>
            <w:rStyle w:val="af1"/>
            <w:i/>
            <w:noProof/>
          </w:rPr>
          <w:t>9</w:t>
        </w:r>
        <w:r w:rsidRPr="00294C3F">
          <w:rPr>
            <w:rStyle w:val="af1"/>
            <w:i/>
            <w:noProof/>
          </w:rPr>
          <w:t>：价格相关高频数据</w:t>
        </w:r>
        <w:r>
          <w:rPr>
            <w:noProof/>
            <w:webHidden/>
          </w:rPr>
          <w:tab/>
        </w:r>
        <w:r>
          <w:rPr>
            <w:noProof/>
            <w:webHidden/>
          </w:rPr>
          <w:fldChar w:fldCharType="begin"/>
        </w:r>
        <w:r>
          <w:rPr>
            <w:noProof/>
            <w:webHidden/>
          </w:rPr>
          <w:instrText xml:space="preserve"> PAGEREF _Toc80478243 \h </w:instrText>
        </w:r>
        <w:r>
          <w:rPr>
            <w:noProof/>
            <w:webHidden/>
          </w:rPr>
        </w:r>
        <w:r>
          <w:rPr>
            <w:noProof/>
            <w:webHidden/>
          </w:rPr>
          <w:fldChar w:fldCharType="separate"/>
        </w:r>
        <w:r>
          <w:rPr>
            <w:noProof/>
            <w:webHidden/>
          </w:rPr>
          <w:t>- 7 -</w:t>
        </w:r>
        <w:r>
          <w:rPr>
            <w:noProof/>
            <w:webHidden/>
          </w:rPr>
          <w:fldChar w:fldCharType="end"/>
        </w:r>
      </w:hyperlink>
    </w:p>
    <w:p w14:paraId="109B1F58" w14:textId="52609A3A" w:rsidR="00C25E96" w:rsidRDefault="00C25E96">
      <w:pPr>
        <w:pStyle w:val="ac"/>
        <w:rPr>
          <w:rFonts w:asciiTheme="minorHAnsi" w:eastAsiaTheme="minorEastAsia" w:hAnsiTheme="minorHAnsi" w:cstheme="minorBidi"/>
          <w:b w:val="0"/>
          <w:bCs w:val="0"/>
          <w:noProof/>
          <w:color w:val="auto"/>
          <w:szCs w:val="22"/>
        </w:rPr>
      </w:pPr>
      <w:hyperlink w:anchor="_Toc80478244" w:history="1">
        <w:r w:rsidRPr="00294C3F">
          <w:rPr>
            <w:rStyle w:val="af1"/>
            <w:i/>
            <w:noProof/>
          </w:rPr>
          <w:t>图表</w:t>
        </w:r>
        <w:r w:rsidRPr="00294C3F">
          <w:rPr>
            <w:rStyle w:val="af1"/>
            <w:i/>
            <w:noProof/>
          </w:rPr>
          <w:t>10</w:t>
        </w:r>
        <w:r w:rsidRPr="00294C3F">
          <w:rPr>
            <w:rStyle w:val="af1"/>
            <w:i/>
            <w:noProof/>
          </w:rPr>
          <w:t>：本周资金利率先下后上（</w:t>
        </w:r>
        <w:r w:rsidRPr="00294C3F">
          <w:rPr>
            <w:rStyle w:val="af1"/>
            <w:i/>
            <w:noProof/>
          </w:rPr>
          <w:t>%</w:t>
        </w:r>
        <w:r w:rsidRPr="00294C3F">
          <w:rPr>
            <w:rStyle w:val="af1"/>
            <w:i/>
            <w:noProof/>
          </w:rPr>
          <w:t>）</w:t>
        </w:r>
        <w:r>
          <w:rPr>
            <w:noProof/>
            <w:webHidden/>
          </w:rPr>
          <w:tab/>
        </w:r>
        <w:r>
          <w:rPr>
            <w:noProof/>
            <w:webHidden/>
          </w:rPr>
          <w:fldChar w:fldCharType="begin"/>
        </w:r>
        <w:r>
          <w:rPr>
            <w:noProof/>
            <w:webHidden/>
          </w:rPr>
          <w:instrText xml:space="preserve"> PAGEREF _Toc80478244 \h </w:instrText>
        </w:r>
        <w:r>
          <w:rPr>
            <w:noProof/>
            <w:webHidden/>
          </w:rPr>
        </w:r>
        <w:r>
          <w:rPr>
            <w:noProof/>
            <w:webHidden/>
          </w:rPr>
          <w:fldChar w:fldCharType="separate"/>
        </w:r>
        <w:r>
          <w:rPr>
            <w:noProof/>
            <w:webHidden/>
          </w:rPr>
          <w:t>- 8 -</w:t>
        </w:r>
        <w:r>
          <w:rPr>
            <w:noProof/>
            <w:webHidden/>
          </w:rPr>
          <w:fldChar w:fldCharType="end"/>
        </w:r>
      </w:hyperlink>
    </w:p>
    <w:p w14:paraId="2A0E1D15" w14:textId="008918DE" w:rsidR="00C25E96" w:rsidRDefault="00C25E96">
      <w:pPr>
        <w:pStyle w:val="ac"/>
        <w:rPr>
          <w:rFonts w:asciiTheme="minorHAnsi" w:eastAsiaTheme="minorEastAsia" w:hAnsiTheme="minorHAnsi" w:cstheme="minorBidi"/>
          <w:b w:val="0"/>
          <w:bCs w:val="0"/>
          <w:noProof/>
          <w:color w:val="auto"/>
          <w:szCs w:val="22"/>
        </w:rPr>
      </w:pPr>
      <w:hyperlink w:anchor="_Toc80478245" w:history="1">
        <w:r w:rsidRPr="00294C3F">
          <w:rPr>
            <w:rStyle w:val="af1"/>
            <w:i/>
            <w:noProof/>
          </w:rPr>
          <w:t>图表</w:t>
        </w:r>
        <w:r w:rsidRPr="00294C3F">
          <w:rPr>
            <w:rStyle w:val="af1"/>
            <w:i/>
            <w:noProof/>
          </w:rPr>
          <w:t>11</w:t>
        </w:r>
        <w:r w:rsidRPr="00294C3F">
          <w:rPr>
            <w:rStyle w:val="af1"/>
            <w:i/>
            <w:noProof/>
          </w:rPr>
          <w:t>：央行公开市场操作变化（</w:t>
        </w:r>
        <w:r w:rsidRPr="00294C3F">
          <w:rPr>
            <w:rStyle w:val="af1"/>
            <w:i/>
            <w:noProof/>
          </w:rPr>
          <w:t>OMO+MLF+</w:t>
        </w:r>
        <w:r w:rsidRPr="00294C3F">
          <w:rPr>
            <w:rStyle w:val="af1"/>
            <w:i/>
            <w:noProof/>
          </w:rPr>
          <w:t>国库现金定存、亿元）</w:t>
        </w:r>
        <w:r>
          <w:rPr>
            <w:noProof/>
            <w:webHidden/>
          </w:rPr>
          <w:tab/>
        </w:r>
        <w:r>
          <w:rPr>
            <w:noProof/>
            <w:webHidden/>
          </w:rPr>
          <w:fldChar w:fldCharType="begin"/>
        </w:r>
        <w:r>
          <w:rPr>
            <w:noProof/>
            <w:webHidden/>
          </w:rPr>
          <w:instrText xml:space="preserve"> PAGEREF _Toc80478245 \h </w:instrText>
        </w:r>
        <w:r>
          <w:rPr>
            <w:noProof/>
            <w:webHidden/>
          </w:rPr>
        </w:r>
        <w:r>
          <w:rPr>
            <w:noProof/>
            <w:webHidden/>
          </w:rPr>
          <w:fldChar w:fldCharType="separate"/>
        </w:r>
        <w:r>
          <w:rPr>
            <w:noProof/>
            <w:webHidden/>
          </w:rPr>
          <w:t>- 8 -</w:t>
        </w:r>
        <w:r>
          <w:rPr>
            <w:noProof/>
            <w:webHidden/>
          </w:rPr>
          <w:fldChar w:fldCharType="end"/>
        </w:r>
      </w:hyperlink>
    </w:p>
    <w:p w14:paraId="7A7E6540" w14:textId="6C014C8C" w:rsidR="00C25E96" w:rsidRDefault="00C25E96">
      <w:pPr>
        <w:pStyle w:val="ac"/>
        <w:rPr>
          <w:rFonts w:asciiTheme="minorHAnsi" w:eastAsiaTheme="minorEastAsia" w:hAnsiTheme="minorHAnsi" w:cstheme="minorBidi"/>
          <w:b w:val="0"/>
          <w:bCs w:val="0"/>
          <w:noProof/>
          <w:color w:val="auto"/>
          <w:szCs w:val="22"/>
        </w:rPr>
      </w:pPr>
      <w:hyperlink w:anchor="_Toc80478246" w:history="1">
        <w:r w:rsidRPr="00294C3F">
          <w:rPr>
            <w:rStyle w:val="af1"/>
            <w:i/>
            <w:noProof/>
          </w:rPr>
          <w:t>图表</w:t>
        </w:r>
        <w:r w:rsidRPr="00294C3F">
          <w:rPr>
            <w:rStyle w:val="af1"/>
            <w:i/>
            <w:noProof/>
          </w:rPr>
          <w:t>12</w:t>
        </w:r>
        <w:r w:rsidRPr="00294C3F">
          <w:rPr>
            <w:rStyle w:val="af1"/>
            <w:i/>
            <w:noProof/>
          </w:rPr>
          <w:t>：存单利率与</w:t>
        </w:r>
        <w:r w:rsidRPr="00294C3F">
          <w:rPr>
            <w:rStyle w:val="af1"/>
            <w:i/>
            <w:noProof/>
          </w:rPr>
          <w:t>MLF</w:t>
        </w:r>
        <w:r w:rsidRPr="00294C3F">
          <w:rPr>
            <w:rStyle w:val="af1"/>
            <w:i/>
            <w:noProof/>
          </w:rPr>
          <w:t>利率倒挂加深（</w:t>
        </w:r>
        <w:r w:rsidRPr="00294C3F">
          <w:rPr>
            <w:rStyle w:val="af1"/>
            <w:i/>
            <w:noProof/>
          </w:rPr>
          <w:t>%</w:t>
        </w:r>
        <w:r w:rsidRPr="00294C3F">
          <w:rPr>
            <w:rStyle w:val="af1"/>
            <w:i/>
            <w:noProof/>
          </w:rPr>
          <w:t>）</w:t>
        </w:r>
        <w:r>
          <w:rPr>
            <w:noProof/>
            <w:webHidden/>
          </w:rPr>
          <w:tab/>
        </w:r>
        <w:r>
          <w:rPr>
            <w:noProof/>
            <w:webHidden/>
          </w:rPr>
          <w:fldChar w:fldCharType="begin"/>
        </w:r>
        <w:r>
          <w:rPr>
            <w:noProof/>
            <w:webHidden/>
          </w:rPr>
          <w:instrText xml:space="preserve"> PAGEREF _Toc80478246 \h </w:instrText>
        </w:r>
        <w:r>
          <w:rPr>
            <w:noProof/>
            <w:webHidden/>
          </w:rPr>
        </w:r>
        <w:r>
          <w:rPr>
            <w:noProof/>
            <w:webHidden/>
          </w:rPr>
          <w:fldChar w:fldCharType="separate"/>
        </w:r>
        <w:r>
          <w:rPr>
            <w:noProof/>
            <w:webHidden/>
          </w:rPr>
          <w:t>- 8 -</w:t>
        </w:r>
        <w:r>
          <w:rPr>
            <w:noProof/>
            <w:webHidden/>
          </w:rPr>
          <w:fldChar w:fldCharType="end"/>
        </w:r>
      </w:hyperlink>
    </w:p>
    <w:p w14:paraId="5DFF320C" w14:textId="0A45F808" w:rsidR="00C25E96" w:rsidRDefault="00C25E96">
      <w:pPr>
        <w:pStyle w:val="ac"/>
        <w:rPr>
          <w:rFonts w:asciiTheme="minorHAnsi" w:eastAsiaTheme="minorEastAsia" w:hAnsiTheme="minorHAnsi" w:cstheme="minorBidi"/>
          <w:b w:val="0"/>
          <w:bCs w:val="0"/>
          <w:noProof/>
          <w:color w:val="auto"/>
          <w:szCs w:val="22"/>
        </w:rPr>
      </w:pPr>
      <w:hyperlink w:anchor="_Toc80478247" w:history="1">
        <w:r w:rsidRPr="00294C3F">
          <w:rPr>
            <w:rStyle w:val="af1"/>
            <w:i/>
            <w:noProof/>
          </w:rPr>
          <w:t>图表</w:t>
        </w:r>
        <w:r w:rsidRPr="00294C3F">
          <w:rPr>
            <w:rStyle w:val="af1"/>
            <w:i/>
            <w:noProof/>
          </w:rPr>
          <w:t>13</w:t>
        </w:r>
        <w:r w:rsidRPr="00294C3F">
          <w:rPr>
            <w:rStyle w:val="af1"/>
            <w:i/>
            <w:noProof/>
          </w:rPr>
          <w:t>：银行间质押式回购成交量与</w:t>
        </w:r>
        <w:r w:rsidRPr="00294C3F">
          <w:rPr>
            <w:rStyle w:val="af1"/>
            <w:i/>
            <w:noProof/>
          </w:rPr>
          <w:t>R001</w:t>
        </w:r>
        <w:r w:rsidRPr="00294C3F">
          <w:rPr>
            <w:rStyle w:val="af1"/>
            <w:i/>
            <w:noProof/>
          </w:rPr>
          <w:t>成交量占比</w:t>
        </w:r>
        <w:r>
          <w:rPr>
            <w:noProof/>
            <w:webHidden/>
          </w:rPr>
          <w:tab/>
        </w:r>
        <w:r>
          <w:rPr>
            <w:noProof/>
            <w:webHidden/>
          </w:rPr>
          <w:fldChar w:fldCharType="begin"/>
        </w:r>
        <w:r>
          <w:rPr>
            <w:noProof/>
            <w:webHidden/>
          </w:rPr>
          <w:instrText xml:space="preserve"> PAGEREF _Toc80478247 \h </w:instrText>
        </w:r>
        <w:r>
          <w:rPr>
            <w:noProof/>
            <w:webHidden/>
          </w:rPr>
        </w:r>
        <w:r>
          <w:rPr>
            <w:noProof/>
            <w:webHidden/>
          </w:rPr>
          <w:fldChar w:fldCharType="separate"/>
        </w:r>
        <w:r>
          <w:rPr>
            <w:noProof/>
            <w:webHidden/>
          </w:rPr>
          <w:t>- 8 -</w:t>
        </w:r>
        <w:r>
          <w:rPr>
            <w:noProof/>
            <w:webHidden/>
          </w:rPr>
          <w:fldChar w:fldCharType="end"/>
        </w:r>
      </w:hyperlink>
    </w:p>
    <w:p w14:paraId="222FE27C" w14:textId="3B7EAFC1" w:rsidR="00C25E96" w:rsidRDefault="00C25E96">
      <w:pPr>
        <w:pStyle w:val="ac"/>
        <w:rPr>
          <w:rFonts w:asciiTheme="minorHAnsi" w:eastAsiaTheme="minorEastAsia" w:hAnsiTheme="minorHAnsi" w:cstheme="minorBidi"/>
          <w:b w:val="0"/>
          <w:bCs w:val="0"/>
          <w:noProof/>
          <w:color w:val="auto"/>
          <w:szCs w:val="22"/>
        </w:rPr>
      </w:pPr>
      <w:hyperlink w:anchor="_Toc80478248" w:history="1">
        <w:r w:rsidRPr="00294C3F">
          <w:rPr>
            <w:rStyle w:val="af1"/>
            <w:i/>
            <w:noProof/>
          </w:rPr>
          <w:t>图表</w:t>
        </w:r>
        <w:r w:rsidRPr="00294C3F">
          <w:rPr>
            <w:rStyle w:val="af1"/>
            <w:i/>
            <w:noProof/>
          </w:rPr>
          <w:t>14</w:t>
        </w:r>
        <w:r w:rsidRPr="00294C3F">
          <w:rPr>
            <w:rStyle w:val="af1"/>
            <w:i/>
            <w:noProof/>
          </w:rPr>
          <w:t>：同业存单净融资额回升（亿元）</w:t>
        </w:r>
        <w:r>
          <w:rPr>
            <w:noProof/>
            <w:webHidden/>
          </w:rPr>
          <w:tab/>
        </w:r>
        <w:r>
          <w:rPr>
            <w:noProof/>
            <w:webHidden/>
          </w:rPr>
          <w:fldChar w:fldCharType="begin"/>
        </w:r>
        <w:r>
          <w:rPr>
            <w:noProof/>
            <w:webHidden/>
          </w:rPr>
          <w:instrText xml:space="preserve"> PAGEREF _Toc80478248 \h </w:instrText>
        </w:r>
        <w:r>
          <w:rPr>
            <w:noProof/>
            <w:webHidden/>
          </w:rPr>
        </w:r>
        <w:r>
          <w:rPr>
            <w:noProof/>
            <w:webHidden/>
          </w:rPr>
          <w:fldChar w:fldCharType="separate"/>
        </w:r>
        <w:r>
          <w:rPr>
            <w:noProof/>
            <w:webHidden/>
          </w:rPr>
          <w:t>- 9 -</w:t>
        </w:r>
        <w:r>
          <w:rPr>
            <w:noProof/>
            <w:webHidden/>
          </w:rPr>
          <w:fldChar w:fldCharType="end"/>
        </w:r>
      </w:hyperlink>
    </w:p>
    <w:p w14:paraId="221066A5" w14:textId="68A456B9" w:rsidR="00C25E96" w:rsidRDefault="00C25E96">
      <w:pPr>
        <w:pStyle w:val="ac"/>
        <w:rPr>
          <w:rFonts w:asciiTheme="minorHAnsi" w:eastAsiaTheme="minorEastAsia" w:hAnsiTheme="minorHAnsi" w:cstheme="minorBidi"/>
          <w:b w:val="0"/>
          <w:bCs w:val="0"/>
          <w:noProof/>
          <w:color w:val="auto"/>
          <w:szCs w:val="22"/>
        </w:rPr>
      </w:pPr>
      <w:hyperlink w:anchor="_Toc80478249" w:history="1">
        <w:r w:rsidRPr="00294C3F">
          <w:rPr>
            <w:rStyle w:val="af1"/>
            <w:i/>
            <w:noProof/>
          </w:rPr>
          <w:t>图表</w:t>
        </w:r>
        <w:r w:rsidRPr="00294C3F">
          <w:rPr>
            <w:rStyle w:val="af1"/>
            <w:i/>
            <w:noProof/>
          </w:rPr>
          <w:t>15</w:t>
        </w:r>
        <w:r w:rsidRPr="00294C3F">
          <w:rPr>
            <w:rStyle w:val="af1"/>
            <w:i/>
            <w:noProof/>
          </w:rPr>
          <w:t>：各期限发行利率小幅波动（</w:t>
        </w:r>
        <w:r w:rsidRPr="00294C3F">
          <w:rPr>
            <w:rStyle w:val="af1"/>
            <w:i/>
            <w:noProof/>
          </w:rPr>
          <w:t>%</w:t>
        </w:r>
        <w:r w:rsidRPr="00294C3F">
          <w:rPr>
            <w:rStyle w:val="af1"/>
            <w:i/>
            <w:noProof/>
          </w:rPr>
          <w:t>）</w:t>
        </w:r>
        <w:r>
          <w:rPr>
            <w:noProof/>
            <w:webHidden/>
          </w:rPr>
          <w:tab/>
        </w:r>
        <w:r>
          <w:rPr>
            <w:noProof/>
            <w:webHidden/>
          </w:rPr>
          <w:fldChar w:fldCharType="begin"/>
        </w:r>
        <w:r>
          <w:rPr>
            <w:noProof/>
            <w:webHidden/>
          </w:rPr>
          <w:instrText xml:space="preserve"> PAGEREF _Toc80478249 \h </w:instrText>
        </w:r>
        <w:r>
          <w:rPr>
            <w:noProof/>
            <w:webHidden/>
          </w:rPr>
        </w:r>
        <w:r>
          <w:rPr>
            <w:noProof/>
            <w:webHidden/>
          </w:rPr>
          <w:fldChar w:fldCharType="separate"/>
        </w:r>
        <w:r>
          <w:rPr>
            <w:noProof/>
            <w:webHidden/>
          </w:rPr>
          <w:t>- 9 -</w:t>
        </w:r>
        <w:r>
          <w:rPr>
            <w:noProof/>
            <w:webHidden/>
          </w:rPr>
          <w:fldChar w:fldCharType="end"/>
        </w:r>
      </w:hyperlink>
    </w:p>
    <w:p w14:paraId="0494DDCE" w14:textId="4B90DFF2" w:rsidR="004D7D48" w:rsidRDefault="003209FF" w:rsidP="003F58E4">
      <w:pPr>
        <w:tabs>
          <w:tab w:val="right" w:pos="12424"/>
        </w:tabs>
        <w:spacing w:after="120" w:line="480" w:lineRule="exact"/>
        <w:ind w:leftChars="1050" w:left="2205"/>
        <w:jc w:val="left"/>
        <w:outlineLvl w:val="0"/>
      </w:pPr>
      <w:r>
        <w:fldChar w:fldCharType="end"/>
      </w:r>
      <w:r>
        <w:br w:type="page"/>
      </w:r>
      <w:bookmarkEnd w:id="0"/>
      <w:bookmarkEnd w:id="1"/>
      <w:bookmarkEnd w:id="2"/>
      <w:bookmarkEnd w:id="3"/>
      <w:bookmarkEnd w:id="4"/>
      <w:bookmarkEnd w:id="5"/>
      <w:bookmarkEnd w:id="6"/>
    </w:p>
    <w:p w14:paraId="3D6DE04C" w14:textId="77D55B7B" w:rsidR="00BF6591" w:rsidRDefault="00BF6591" w:rsidP="00BF6591">
      <w:pPr>
        <w:tabs>
          <w:tab w:val="right" w:pos="12424"/>
        </w:tabs>
        <w:spacing w:beforeLines="50" w:before="156" w:after="120" w:line="480" w:lineRule="exact"/>
        <w:ind w:leftChars="1050" w:left="2205"/>
        <w:jc w:val="left"/>
        <w:outlineLvl w:val="0"/>
        <w:rPr>
          <w:rFonts w:cs="Arial"/>
          <w:b/>
          <w:sz w:val="28"/>
          <w:szCs w:val="21"/>
        </w:rPr>
      </w:pPr>
      <w:bookmarkStart w:id="8" w:name="_Toc78639970"/>
      <w:bookmarkStart w:id="9" w:name="_Toc78661111"/>
      <w:bookmarkStart w:id="10" w:name="_Toc79269724"/>
      <w:bookmarkStart w:id="11" w:name="_Toc80478230"/>
      <w:r>
        <w:rPr>
          <w:rFonts w:cs="Arial" w:hint="eastAsia"/>
          <w:b/>
          <w:sz w:val="28"/>
          <w:szCs w:val="21"/>
        </w:rPr>
        <w:lastRenderedPageBreak/>
        <w:t>一、本周利率债市场复盘</w:t>
      </w:r>
      <w:bookmarkEnd w:id="11"/>
    </w:p>
    <w:p w14:paraId="0A925681" w14:textId="5A72876B" w:rsidR="00886C82" w:rsidRPr="00886C82" w:rsidRDefault="00BF6591" w:rsidP="00597AC0">
      <w:pPr>
        <w:pStyle w:val="aff5"/>
        <w:numPr>
          <w:ilvl w:val="0"/>
          <w:numId w:val="6"/>
        </w:numPr>
        <w:ind w:firstLineChars="0"/>
        <w:rPr>
          <w:b/>
        </w:rPr>
      </w:pPr>
      <w:r w:rsidRPr="00886C82">
        <w:rPr>
          <w:rFonts w:hint="eastAsia"/>
          <w:b/>
        </w:rPr>
        <w:t>一级供给大幅增加，招标情绪维持高位</w:t>
      </w:r>
    </w:p>
    <w:p w14:paraId="278283D9" w14:textId="3B5084B8" w:rsidR="00BF6591" w:rsidRDefault="00BF6591" w:rsidP="00BF6591">
      <w:pPr>
        <w:ind w:left="3681"/>
      </w:pPr>
      <w:r w:rsidRPr="00D85A79">
        <w:rPr>
          <w:rFonts w:hint="eastAsia"/>
        </w:rPr>
        <w:t>本周利率债总计</w:t>
      </w:r>
      <w:r w:rsidRPr="00D85A79">
        <w:t>发行</w:t>
      </w:r>
      <w:r>
        <w:t>6853</w:t>
      </w:r>
      <w:r w:rsidRPr="00D85A79">
        <w:rPr>
          <w:rFonts w:hint="eastAsia"/>
        </w:rPr>
        <w:t>亿元</w:t>
      </w:r>
      <w:r>
        <w:rPr>
          <w:rFonts w:hint="eastAsia"/>
        </w:rPr>
        <w:t>，</w:t>
      </w:r>
      <w:r w:rsidRPr="00D85A79">
        <w:t>其中国债</w:t>
      </w:r>
      <w:r>
        <w:t>2032</w:t>
      </w:r>
      <w:r>
        <w:rPr>
          <w:rFonts w:hint="eastAsia"/>
        </w:rPr>
        <w:t>亿</w:t>
      </w:r>
      <w:r w:rsidRPr="00D85A79">
        <w:rPr>
          <w:rFonts w:hint="eastAsia"/>
        </w:rPr>
        <w:t>元，</w:t>
      </w:r>
      <w:r w:rsidRPr="00D85A79">
        <w:t>地方债</w:t>
      </w:r>
      <w:r>
        <w:t>3782</w:t>
      </w:r>
      <w:r w:rsidRPr="00D85A79">
        <w:rPr>
          <w:rFonts w:hint="eastAsia"/>
        </w:rPr>
        <w:t>亿元</w:t>
      </w:r>
      <w:r w:rsidRPr="00D85A79">
        <w:t>，政金债</w:t>
      </w:r>
      <w:r>
        <w:rPr>
          <w:rFonts w:hint="eastAsia"/>
        </w:rPr>
        <w:t>1</w:t>
      </w:r>
      <w:r>
        <w:t>040</w:t>
      </w:r>
      <w:r w:rsidRPr="00D85A79">
        <w:rPr>
          <w:rFonts w:hint="eastAsia"/>
        </w:rPr>
        <w:t>亿元</w:t>
      </w:r>
      <w:r w:rsidRPr="00D85A79">
        <w:t>，</w:t>
      </w:r>
      <w:r>
        <w:rPr>
          <w:rFonts w:hint="eastAsia"/>
        </w:rPr>
        <w:t>本周</w:t>
      </w:r>
      <w:r w:rsidRPr="00D85A79">
        <w:t>净融资量为</w:t>
      </w:r>
      <w:r>
        <w:t>5418</w:t>
      </w:r>
      <w:r w:rsidRPr="00D85A79">
        <w:rPr>
          <w:rFonts w:hint="eastAsia"/>
        </w:rPr>
        <w:t>亿</w:t>
      </w:r>
      <w:r w:rsidRPr="00F83D79">
        <w:rPr>
          <w:rFonts w:hint="eastAsia"/>
        </w:rPr>
        <w:t>元，较上周</w:t>
      </w:r>
      <w:r>
        <w:rPr>
          <w:rFonts w:hint="eastAsia"/>
        </w:rPr>
        <w:t>回升</w:t>
      </w:r>
      <w:r>
        <w:rPr>
          <w:rFonts w:hint="eastAsia"/>
        </w:rPr>
        <w:t>4</w:t>
      </w:r>
      <w:r>
        <w:t>126</w:t>
      </w:r>
      <w:r w:rsidRPr="00F83D79">
        <w:rPr>
          <w:rFonts w:hint="eastAsia"/>
        </w:rPr>
        <w:t>亿元</w:t>
      </w:r>
      <w:r w:rsidRPr="00F83D79">
        <w:t>。</w:t>
      </w:r>
      <w:r w:rsidRPr="00F83D79">
        <w:rPr>
          <w:rFonts w:hint="eastAsia"/>
        </w:rPr>
        <w:t>下周利率债总发行量预计</w:t>
      </w:r>
      <w:r>
        <w:rPr>
          <w:rFonts w:hint="eastAsia"/>
        </w:rPr>
        <w:t>回落至</w:t>
      </w:r>
      <w:r>
        <w:rPr>
          <w:rFonts w:hint="eastAsia"/>
        </w:rPr>
        <w:t>3</w:t>
      </w:r>
      <w:r>
        <w:t>098</w:t>
      </w:r>
      <w:r w:rsidRPr="00F83D79">
        <w:rPr>
          <w:rFonts w:hint="eastAsia"/>
        </w:rPr>
        <w:t>亿元</w:t>
      </w:r>
      <w:r w:rsidRPr="00F83D79">
        <w:t>。</w:t>
      </w:r>
      <w:r w:rsidRPr="00F83D79">
        <w:rPr>
          <w:rFonts w:hint="eastAsia"/>
        </w:rPr>
        <w:t>一级</w:t>
      </w:r>
      <w:r w:rsidRPr="00F83D79">
        <w:t>市场招标</w:t>
      </w:r>
      <w:r w:rsidRPr="00F83D79">
        <w:rPr>
          <w:rFonts w:hint="eastAsia"/>
        </w:rPr>
        <w:t>情绪</w:t>
      </w:r>
      <w:r>
        <w:rPr>
          <w:rFonts w:hint="eastAsia"/>
        </w:rPr>
        <w:t>较好</w:t>
      </w:r>
      <w:r w:rsidRPr="00F83D79">
        <w:t>，</w:t>
      </w:r>
      <w:r>
        <w:rPr>
          <w:rFonts w:hint="eastAsia"/>
        </w:rPr>
        <w:t>短期限利率债全场倍数较上周普遍回升，中长期限利率债全场倍数维持在较高水平。口行债招标需求较旺，如</w:t>
      </w:r>
      <w:r>
        <w:rPr>
          <w:rFonts w:hint="eastAsia"/>
        </w:rPr>
        <w:t>2</w:t>
      </w:r>
      <w:r>
        <w:t>Y</w:t>
      </w:r>
      <w:r>
        <w:rPr>
          <w:rFonts w:hint="eastAsia"/>
        </w:rPr>
        <w:t>、</w:t>
      </w:r>
      <w:r>
        <w:t>3Y</w:t>
      </w:r>
      <w:r>
        <w:rPr>
          <w:rFonts w:hint="eastAsia"/>
        </w:rPr>
        <w:t>、</w:t>
      </w:r>
      <w:r>
        <w:t>5Y</w:t>
      </w:r>
      <w:r>
        <w:rPr>
          <w:rFonts w:hint="eastAsia"/>
        </w:rPr>
        <w:t>口行债全场倍数均超过</w:t>
      </w:r>
      <w:r>
        <w:rPr>
          <w:rFonts w:hint="eastAsia"/>
        </w:rPr>
        <w:t>8</w:t>
      </w:r>
      <w:r>
        <w:rPr>
          <w:rFonts w:hint="eastAsia"/>
        </w:rPr>
        <w:t>。</w:t>
      </w:r>
    </w:p>
    <w:p w14:paraId="4E64B71A" w14:textId="77777777" w:rsidR="00BF6591" w:rsidRPr="00681F27" w:rsidRDefault="00BF6591" w:rsidP="00BF6591">
      <w:pPr>
        <w:ind w:left="3681"/>
      </w:pPr>
    </w:p>
    <w:tbl>
      <w:tblPr>
        <w:tblStyle w:val="af"/>
        <w:tblW w:w="6734" w:type="dxa"/>
        <w:tblInd w:w="3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4"/>
      </w:tblGrid>
      <w:tr w:rsidR="00BF6591" w:rsidRPr="00D85A79" w14:paraId="604256D5" w14:textId="77777777" w:rsidTr="0089070E">
        <w:trPr>
          <w:trHeight w:val="113"/>
        </w:trPr>
        <w:tc>
          <w:tcPr>
            <w:tcW w:w="6734" w:type="dxa"/>
            <w:tcBorders>
              <w:top w:val="single" w:sz="12" w:space="0" w:color="C00000"/>
              <w:bottom w:val="single" w:sz="2" w:space="0" w:color="C00000"/>
            </w:tcBorders>
            <w:shd w:val="clear" w:color="auto" w:fill="auto"/>
          </w:tcPr>
          <w:p w14:paraId="08D14B4C" w14:textId="77777777" w:rsidR="00BF6591" w:rsidRPr="00D85A79" w:rsidRDefault="00BF6591" w:rsidP="0089070E">
            <w:pPr>
              <w:rPr>
                <w:rFonts w:cs="Arial"/>
                <w:b/>
                <w:i/>
                <w:color w:val="C00000"/>
              </w:rPr>
            </w:pPr>
            <w:bookmarkStart w:id="12" w:name="_Toc80478235"/>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SEQ </w:instrText>
            </w:r>
            <w:r w:rsidRPr="00D85A79">
              <w:rPr>
                <w:rFonts w:cs="Arial"/>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1</w:t>
            </w:r>
            <w:r w:rsidRPr="00D85A79">
              <w:rPr>
                <w:rFonts w:cs="Arial"/>
                <w:b/>
                <w:i/>
                <w:color w:val="C00000"/>
              </w:rPr>
              <w:fldChar w:fldCharType="end"/>
            </w:r>
            <w:r w:rsidRPr="00D85A79">
              <w:rPr>
                <w:rFonts w:cs="Arial" w:hint="eastAsia"/>
                <w:b/>
                <w:i/>
                <w:color w:val="C00000"/>
              </w:rPr>
              <w:t>：</w:t>
            </w:r>
            <w:r>
              <w:rPr>
                <w:rFonts w:cs="Arial" w:hint="eastAsia"/>
                <w:b/>
                <w:i/>
                <w:color w:val="C00000"/>
              </w:rPr>
              <w:t>利率债</w:t>
            </w:r>
            <w:r w:rsidRPr="00D85A79">
              <w:rPr>
                <w:rFonts w:cs="Arial" w:hint="eastAsia"/>
                <w:b/>
                <w:i/>
                <w:color w:val="C00000"/>
              </w:rPr>
              <w:t>发行量</w:t>
            </w:r>
            <w:r>
              <w:rPr>
                <w:rFonts w:cs="Arial" w:hint="eastAsia"/>
                <w:b/>
                <w:i/>
                <w:color w:val="C00000"/>
              </w:rPr>
              <w:t>与</w:t>
            </w:r>
            <w:r w:rsidRPr="00D85A79">
              <w:rPr>
                <w:rFonts w:cs="Arial"/>
                <w:b/>
                <w:i/>
                <w:color w:val="C00000"/>
              </w:rPr>
              <w:t>净融资</w:t>
            </w:r>
            <w:r w:rsidRPr="00D85A79">
              <w:rPr>
                <w:rFonts w:cs="Arial" w:hint="eastAsia"/>
                <w:b/>
                <w:i/>
                <w:color w:val="C00000"/>
              </w:rPr>
              <w:t>量</w:t>
            </w:r>
            <w:r>
              <w:rPr>
                <w:rFonts w:cs="Arial" w:hint="eastAsia"/>
                <w:b/>
                <w:i/>
                <w:color w:val="C00000"/>
              </w:rPr>
              <w:t>均回升</w:t>
            </w:r>
            <w:r w:rsidRPr="00D85A79">
              <w:rPr>
                <w:rFonts w:cs="Arial" w:hint="eastAsia"/>
                <w:b/>
                <w:i/>
                <w:color w:val="C00000"/>
              </w:rPr>
              <w:t>（亿元）</w:t>
            </w:r>
            <w:bookmarkEnd w:id="12"/>
          </w:p>
        </w:tc>
      </w:tr>
      <w:tr w:rsidR="00BF6591" w:rsidRPr="00D85A79" w14:paraId="5AA2850D" w14:textId="77777777" w:rsidTr="0089070E">
        <w:trPr>
          <w:trHeight w:val="2999"/>
        </w:trPr>
        <w:tc>
          <w:tcPr>
            <w:tcW w:w="6734" w:type="dxa"/>
            <w:tcBorders>
              <w:top w:val="single" w:sz="2" w:space="0" w:color="C00000"/>
              <w:bottom w:val="single" w:sz="2" w:space="0" w:color="C00000"/>
            </w:tcBorders>
            <w:shd w:val="clear" w:color="auto" w:fill="auto"/>
          </w:tcPr>
          <w:p w14:paraId="6C0A1A5E" w14:textId="30B6EA98" w:rsidR="00BF6591" w:rsidRPr="00D85A79" w:rsidRDefault="000C44CC" w:rsidP="000C44CC">
            <w:pPr>
              <w:jc w:val="center"/>
              <w:rPr>
                <w:rFonts w:cs="Arial"/>
                <w:b/>
                <w:i/>
                <w:color w:val="C00000"/>
              </w:rPr>
            </w:pPr>
            <w:r w:rsidRPr="000C44CC">
              <w:rPr>
                <w:rFonts w:cs="Arial"/>
                <w:b/>
                <w:i/>
                <w:noProof/>
                <w:color w:val="C00000"/>
              </w:rPr>
              <w:drawing>
                <wp:inline distT="0" distB="0" distL="0" distR="0" wp14:anchorId="5799CC2B" wp14:editId="0738FFB8">
                  <wp:extent cx="3952875" cy="2152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2152650"/>
                          </a:xfrm>
                          <a:prstGeom prst="rect">
                            <a:avLst/>
                          </a:prstGeom>
                          <a:noFill/>
                          <a:ln>
                            <a:noFill/>
                          </a:ln>
                        </pic:spPr>
                      </pic:pic>
                    </a:graphicData>
                  </a:graphic>
                </wp:inline>
              </w:drawing>
            </w:r>
          </w:p>
        </w:tc>
      </w:tr>
      <w:tr w:rsidR="00BF6591" w:rsidRPr="00D85A79" w14:paraId="072ABA39" w14:textId="77777777" w:rsidTr="0089070E">
        <w:trPr>
          <w:trHeight w:val="57"/>
        </w:trPr>
        <w:tc>
          <w:tcPr>
            <w:tcW w:w="6734" w:type="dxa"/>
            <w:tcBorders>
              <w:top w:val="single" w:sz="2" w:space="0" w:color="C00000"/>
            </w:tcBorders>
            <w:shd w:val="clear" w:color="auto" w:fill="auto"/>
          </w:tcPr>
          <w:p w14:paraId="27D73C22" w14:textId="77777777" w:rsidR="00BF6591" w:rsidRPr="00D85A79" w:rsidRDefault="00BF6591" w:rsidP="0089070E">
            <w:pPr>
              <w:jc w:val="left"/>
              <w:rPr>
                <w:rFonts w:ascii="楷体" w:eastAsia="楷体" w:hAnsi="楷体" w:cs="Arial"/>
                <w:iCs/>
                <w:color w:val="C00000"/>
                <w:sz w:val="15"/>
              </w:rPr>
            </w:pPr>
            <w:r w:rsidRPr="00D85A79">
              <w:rPr>
                <w:rFonts w:ascii="楷体" w:eastAsia="楷体" w:hAnsi="楷体" w:cs="Arial" w:hint="eastAsia"/>
                <w:iCs/>
                <w:color w:val="C00000"/>
                <w:sz w:val="15"/>
              </w:rPr>
              <w:t>来源：WIND，中泰证券研究所</w:t>
            </w:r>
          </w:p>
        </w:tc>
      </w:tr>
    </w:tbl>
    <w:p w14:paraId="0D36D655" w14:textId="77777777" w:rsidR="00BF6591" w:rsidRDefault="00BF6591" w:rsidP="00BF6591">
      <w:pPr>
        <w:rPr>
          <w:rFonts w:cs="Arial"/>
          <w:b/>
          <w:i/>
          <w:color w:val="C00000"/>
        </w:rPr>
      </w:pPr>
    </w:p>
    <w:tbl>
      <w:tblPr>
        <w:tblStyle w:val="af"/>
        <w:tblW w:w="1017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0"/>
      </w:tblGrid>
      <w:tr w:rsidR="00BF6591" w:rsidRPr="00D85A79" w14:paraId="3E2F9FD0" w14:textId="77777777" w:rsidTr="0089070E">
        <w:trPr>
          <w:trHeight w:val="113"/>
        </w:trPr>
        <w:tc>
          <w:tcPr>
            <w:tcW w:w="10170" w:type="dxa"/>
            <w:tcBorders>
              <w:top w:val="single" w:sz="12" w:space="0" w:color="C00000"/>
              <w:bottom w:val="single" w:sz="2" w:space="0" w:color="C00000"/>
            </w:tcBorders>
            <w:shd w:val="clear" w:color="auto" w:fill="auto"/>
          </w:tcPr>
          <w:p w14:paraId="0BC92225" w14:textId="77777777" w:rsidR="00BF6591" w:rsidRPr="00D85A79" w:rsidRDefault="00BF6591" w:rsidP="0089070E">
            <w:pPr>
              <w:rPr>
                <w:rFonts w:cs="Arial"/>
                <w:b/>
                <w:i/>
                <w:color w:val="C00000"/>
              </w:rPr>
            </w:pPr>
            <w:bookmarkStart w:id="13" w:name="_Toc80478236"/>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SEQ </w:instrText>
            </w:r>
            <w:r w:rsidRPr="00D85A79">
              <w:rPr>
                <w:rFonts w:cs="Arial"/>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2</w:t>
            </w:r>
            <w:r w:rsidRPr="00D85A79">
              <w:rPr>
                <w:rFonts w:cs="Arial"/>
                <w:b/>
                <w:i/>
                <w:color w:val="C00000"/>
              </w:rPr>
              <w:fldChar w:fldCharType="end"/>
            </w:r>
            <w:r w:rsidRPr="00D85A79">
              <w:rPr>
                <w:rFonts w:cs="Arial" w:hint="eastAsia"/>
                <w:b/>
                <w:i/>
                <w:color w:val="C00000"/>
              </w:rPr>
              <w:t>：</w:t>
            </w:r>
            <w:r>
              <w:rPr>
                <w:rFonts w:cs="Arial" w:hint="eastAsia"/>
                <w:b/>
                <w:i/>
                <w:color w:val="C00000"/>
              </w:rPr>
              <w:t>一级招标情绪维持高位</w:t>
            </w:r>
            <w:bookmarkEnd w:id="13"/>
          </w:p>
        </w:tc>
      </w:tr>
      <w:tr w:rsidR="00BF6591" w:rsidRPr="00D85A79" w14:paraId="1C827122" w14:textId="77777777" w:rsidTr="0089070E">
        <w:trPr>
          <w:trHeight w:val="57"/>
        </w:trPr>
        <w:tc>
          <w:tcPr>
            <w:tcW w:w="10170" w:type="dxa"/>
            <w:tcBorders>
              <w:top w:val="single" w:sz="2" w:space="0" w:color="C00000"/>
              <w:bottom w:val="single" w:sz="2" w:space="0" w:color="C00000"/>
            </w:tcBorders>
            <w:shd w:val="clear" w:color="auto" w:fill="auto"/>
          </w:tcPr>
          <w:tbl>
            <w:tblPr>
              <w:tblW w:w="11164" w:type="dxa"/>
              <w:tblLook w:val="04A0" w:firstRow="1" w:lastRow="0" w:firstColumn="1" w:lastColumn="0" w:noHBand="0" w:noVBand="1"/>
            </w:tblPr>
            <w:tblGrid>
              <w:gridCol w:w="1518"/>
              <w:gridCol w:w="1014"/>
              <w:gridCol w:w="1536"/>
              <w:gridCol w:w="981"/>
              <w:gridCol w:w="981"/>
              <w:gridCol w:w="981"/>
              <w:gridCol w:w="981"/>
              <w:gridCol w:w="981"/>
              <w:gridCol w:w="981"/>
            </w:tblGrid>
            <w:tr w:rsidR="00BF6591" w:rsidRPr="004B50AF" w14:paraId="72235020" w14:textId="77777777" w:rsidTr="0089070E">
              <w:trPr>
                <w:trHeight w:val="280"/>
              </w:trPr>
              <w:tc>
                <w:tcPr>
                  <w:tcW w:w="1716" w:type="dxa"/>
                  <w:tcBorders>
                    <w:top w:val="single" w:sz="8" w:space="0" w:color="C0002E"/>
                    <w:left w:val="nil"/>
                    <w:bottom w:val="single" w:sz="4" w:space="0" w:color="C0504D"/>
                    <w:right w:val="nil"/>
                  </w:tcBorders>
                  <w:shd w:val="clear" w:color="000000" w:fill="C0504D"/>
                  <w:noWrap/>
                  <w:vAlign w:val="center"/>
                  <w:hideMark/>
                </w:tcPr>
                <w:p w14:paraId="4412B525" w14:textId="77777777" w:rsidR="00BF6591" w:rsidRPr="004B50AF" w:rsidRDefault="00BF6591" w:rsidP="0089070E">
                  <w:pPr>
                    <w:widowControl/>
                    <w:jc w:val="center"/>
                    <w:rPr>
                      <w:rFonts w:eastAsia="等线" w:cs="Arial"/>
                      <w:b/>
                      <w:bCs/>
                      <w:color w:val="FFFFFF"/>
                      <w:kern w:val="0"/>
                      <w:sz w:val="16"/>
                      <w:szCs w:val="16"/>
                    </w:rPr>
                  </w:pPr>
                  <w:r w:rsidRPr="004B50AF">
                    <w:rPr>
                      <w:rFonts w:ascii="华文楷体" w:eastAsia="华文楷体" w:hAnsi="华文楷体" w:cs="Arial" w:hint="eastAsia"/>
                      <w:b/>
                      <w:bCs/>
                      <w:color w:val="FFFFFF"/>
                      <w:kern w:val="0"/>
                      <w:sz w:val="16"/>
                      <w:szCs w:val="16"/>
                    </w:rPr>
                    <w:t>全场倍数</w:t>
                  </w:r>
                </w:p>
              </w:tc>
              <w:tc>
                <w:tcPr>
                  <w:tcW w:w="1136" w:type="dxa"/>
                  <w:tcBorders>
                    <w:top w:val="single" w:sz="8" w:space="0" w:color="C0002E"/>
                    <w:left w:val="nil"/>
                    <w:bottom w:val="single" w:sz="4" w:space="0" w:color="C0504D"/>
                    <w:right w:val="nil"/>
                  </w:tcBorders>
                  <w:shd w:val="clear" w:color="000000" w:fill="C0504D"/>
                  <w:noWrap/>
                  <w:vAlign w:val="center"/>
                  <w:hideMark/>
                </w:tcPr>
                <w:p w14:paraId="1CBC2A54" w14:textId="77777777" w:rsidR="00BF6591" w:rsidRPr="004B50AF" w:rsidRDefault="00BF6591" w:rsidP="0089070E">
                  <w:pPr>
                    <w:widowControl/>
                    <w:jc w:val="center"/>
                    <w:rPr>
                      <w:rFonts w:eastAsia="等线" w:cs="Arial"/>
                      <w:b/>
                      <w:bCs/>
                      <w:color w:val="FFFFFF"/>
                      <w:kern w:val="0"/>
                      <w:sz w:val="16"/>
                      <w:szCs w:val="16"/>
                    </w:rPr>
                  </w:pPr>
                  <w:r w:rsidRPr="004B50AF">
                    <w:rPr>
                      <w:rFonts w:eastAsia="等线" w:cs="Arial"/>
                      <w:b/>
                      <w:bCs/>
                      <w:color w:val="FFFFFF"/>
                      <w:kern w:val="0"/>
                      <w:sz w:val="16"/>
                      <w:szCs w:val="16"/>
                    </w:rPr>
                    <w:t>91D</w:t>
                  </w:r>
                </w:p>
              </w:tc>
              <w:tc>
                <w:tcPr>
                  <w:tcW w:w="1736" w:type="dxa"/>
                  <w:tcBorders>
                    <w:top w:val="single" w:sz="8" w:space="0" w:color="C0002E"/>
                    <w:left w:val="nil"/>
                    <w:bottom w:val="single" w:sz="4" w:space="0" w:color="C0504D"/>
                    <w:right w:val="nil"/>
                  </w:tcBorders>
                  <w:shd w:val="clear" w:color="000000" w:fill="C0504D"/>
                  <w:noWrap/>
                  <w:vAlign w:val="center"/>
                  <w:hideMark/>
                </w:tcPr>
                <w:p w14:paraId="79B0A2D7" w14:textId="77777777" w:rsidR="00BF6591" w:rsidRPr="004B50AF" w:rsidRDefault="00BF6591" w:rsidP="0089070E">
                  <w:pPr>
                    <w:widowControl/>
                    <w:jc w:val="center"/>
                    <w:rPr>
                      <w:rFonts w:eastAsia="等线" w:cs="Arial"/>
                      <w:b/>
                      <w:bCs/>
                      <w:color w:val="FFFFFF"/>
                      <w:kern w:val="0"/>
                      <w:sz w:val="16"/>
                      <w:szCs w:val="16"/>
                    </w:rPr>
                  </w:pPr>
                  <w:r w:rsidRPr="004B50AF">
                    <w:rPr>
                      <w:rFonts w:eastAsia="等线" w:cs="Arial"/>
                      <w:b/>
                      <w:bCs/>
                      <w:color w:val="FFFFFF"/>
                      <w:kern w:val="0"/>
                      <w:sz w:val="16"/>
                      <w:szCs w:val="16"/>
                    </w:rPr>
                    <w:t>182D</w:t>
                  </w:r>
                </w:p>
              </w:tc>
              <w:tc>
                <w:tcPr>
                  <w:tcW w:w="1096" w:type="dxa"/>
                  <w:tcBorders>
                    <w:top w:val="single" w:sz="8" w:space="0" w:color="C0002E"/>
                    <w:left w:val="nil"/>
                    <w:bottom w:val="single" w:sz="4" w:space="0" w:color="C0504D"/>
                    <w:right w:val="nil"/>
                  </w:tcBorders>
                  <w:shd w:val="clear" w:color="000000" w:fill="C0504D"/>
                  <w:noWrap/>
                  <w:vAlign w:val="center"/>
                  <w:hideMark/>
                </w:tcPr>
                <w:p w14:paraId="08641981" w14:textId="77777777" w:rsidR="00BF6591" w:rsidRPr="004B50AF" w:rsidRDefault="00BF6591" w:rsidP="0089070E">
                  <w:pPr>
                    <w:widowControl/>
                    <w:jc w:val="center"/>
                    <w:rPr>
                      <w:rFonts w:eastAsia="等线" w:cs="Arial"/>
                      <w:b/>
                      <w:bCs/>
                      <w:color w:val="FFFFFF"/>
                      <w:kern w:val="0"/>
                      <w:sz w:val="16"/>
                      <w:szCs w:val="16"/>
                    </w:rPr>
                  </w:pPr>
                  <w:r w:rsidRPr="004B50AF">
                    <w:rPr>
                      <w:rFonts w:eastAsia="等线" w:cs="Arial"/>
                      <w:b/>
                      <w:bCs/>
                      <w:color w:val="FFFFFF"/>
                      <w:kern w:val="0"/>
                      <w:sz w:val="16"/>
                      <w:szCs w:val="16"/>
                    </w:rPr>
                    <w:t>1Y</w:t>
                  </w:r>
                </w:p>
              </w:tc>
              <w:tc>
                <w:tcPr>
                  <w:tcW w:w="1096" w:type="dxa"/>
                  <w:tcBorders>
                    <w:top w:val="single" w:sz="8" w:space="0" w:color="C0002E"/>
                    <w:left w:val="nil"/>
                    <w:bottom w:val="single" w:sz="4" w:space="0" w:color="C0504D"/>
                    <w:right w:val="nil"/>
                  </w:tcBorders>
                  <w:shd w:val="clear" w:color="000000" w:fill="C0504D"/>
                  <w:noWrap/>
                  <w:vAlign w:val="center"/>
                  <w:hideMark/>
                </w:tcPr>
                <w:p w14:paraId="03332609" w14:textId="77777777" w:rsidR="00BF6591" w:rsidRPr="004B50AF" w:rsidRDefault="00BF6591" w:rsidP="0089070E">
                  <w:pPr>
                    <w:widowControl/>
                    <w:jc w:val="center"/>
                    <w:rPr>
                      <w:rFonts w:eastAsia="等线" w:cs="Arial"/>
                      <w:b/>
                      <w:bCs/>
                      <w:color w:val="FFFFFF"/>
                      <w:kern w:val="0"/>
                      <w:sz w:val="16"/>
                      <w:szCs w:val="16"/>
                    </w:rPr>
                  </w:pPr>
                  <w:r w:rsidRPr="004B50AF">
                    <w:rPr>
                      <w:rFonts w:eastAsia="等线" w:cs="Arial"/>
                      <w:b/>
                      <w:bCs/>
                      <w:color w:val="FFFFFF"/>
                      <w:kern w:val="0"/>
                      <w:sz w:val="16"/>
                      <w:szCs w:val="16"/>
                    </w:rPr>
                    <w:t>2Y</w:t>
                  </w:r>
                </w:p>
              </w:tc>
              <w:tc>
                <w:tcPr>
                  <w:tcW w:w="1096" w:type="dxa"/>
                  <w:tcBorders>
                    <w:top w:val="single" w:sz="8" w:space="0" w:color="C0002E"/>
                    <w:left w:val="nil"/>
                    <w:bottom w:val="single" w:sz="4" w:space="0" w:color="C0504D"/>
                    <w:right w:val="nil"/>
                  </w:tcBorders>
                  <w:shd w:val="clear" w:color="000000" w:fill="C0504D"/>
                  <w:noWrap/>
                  <w:vAlign w:val="center"/>
                  <w:hideMark/>
                </w:tcPr>
                <w:p w14:paraId="5C46D546" w14:textId="77777777" w:rsidR="00BF6591" w:rsidRPr="004B50AF" w:rsidRDefault="00BF6591" w:rsidP="0089070E">
                  <w:pPr>
                    <w:widowControl/>
                    <w:jc w:val="center"/>
                    <w:rPr>
                      <w:rFonts w:eastAsia="等线" w:cs="Arial"/>
                      <w:b/>
                      <w:bCs/>
                      <w:color w:val="FFFFFF"/>
                      <w:kern w:val="0"/>
                      <w:sz w:val="16"/>
                      <w:szCs w:val="16"/>
                    </w:rPr>
                  </w:pPr>
                  <w:r w:rsidRPr="004B50AF">
                    <w:rPr>
                      <w:rFonts w:eastAsia="等线" w:cs="Arial"/>
                      <w:b/>
                      <w:bCs/>
                      <w:color w:val="FFFFFF"/>
                      <w:kern w:val="0"/>
                      <w:sz w:val="16"/>
                      <w:szCs w:val="16"/>
                    </w:rPr>
                    <w:t>3Y</w:t>
                  </w:r>
                </w:p>
              </w:tc>
              <w:tc>
                <w:tcPr>
                  <w:tcW w:w="1096" w:type="dxa"/>
                  <w:tcBorders>
                    <w:top w:val="single" w:sz="8" w:space="0" w:color="C0002E"/>
                    <w:left w:val="nil"/>
                    <w:bottom w:val="single" w:sz="4" w:space="0" w:color="C0504D"/>
                    <w:right w:val="nil"/>
                  </w:tcBorders>
                  <w:shd w:val="clear" w:color="000000" w:fill="C0504D"/>
                  <w:noWrap/>
                  <w:vAlign w:val="center"/>
                  <w:hideMark/>
                </w:tcPr>
                <w:p w14:paraId="2470CC81" w14:textId="77777777" w:rsidR="00BF6591" w:rsidRPr="004B50AF" w:rsidRDefault="00BF6591" w:rsidP="0089070E">
                  <w:pPr>
                    <w:widowControl/>
                    <w:jc w:val="center"/>
                    <w:rPr>
                      <w:rFonts w:eastAsia="等线" w:cs="Arial"/>
                      <w:b/>
                      <w:bCs/>
                      <w:color w:val="FFFFFF"/>
                      <w:kern w:val="0"/>
                      <w:sz w:val="16"/>
                      <w:szCs w:val="16"/>
                    </w:rPr>
                  </w:pPr>
                  <w:r w:rsidRPr="004B50AF">
                    <w:rPr>
                      <w:rFonts w:eastAsia="等线" w:cs="Arial"/>
                      <w:b/>
                      <w:bCs/>
                      <w:color w:val="FFFFFF"/>
                      <w:kern w:val="0"/>
                      <w:sz w:val="16"/>
                      <w:szCs w:val="16"/>
                    </w:rPr>
                    <w:t>5Y</w:t>
                  </w:r>
                </w:p>
              </w:tc>
              <w:tc>
                <w:tcPr>
                  <w:tcW w:w="1096" w:type="dxa"/>
                  <w:tcBorders>
                    <w:top w:val="single" w:sz="8" w:space="0" w:color="C0002E"/>
                    <w:left w:val="nil"/>
                    <w:bottom w:val="single" w:sz="4" w:space="0" w:color="C0504D"/>
                    <w:right w:val="nil"/>
                  </w:tcBorders>
                  <w:shd w:val="clear" w:color="000000" w:fill="C0504D"/>
                  <w:noWrap/>
                  <w:vAlign w:val="center"/>
                  <w:hideMark/>
                </w:tcPr>
                <w:p w14:paraId="166234D3" w14:textId="77777777" w:rsidR="00BF6591" w:rsidRPr="004B50AF" w:rsidRDefault="00BF6591" w:rsidP="0089070E">
                  <w:pPr>
                    <w:widowControl/>
                    <w:jc w:val="center"/>
                    <w:rPr>
                      <w:rFonts w:eastAsia="等线" w:cs="Arial"/>
                      <w:b/>
                      <w:bCs/>
                      <w:color w:val="FFFFFF"/>
                      <w:kern w:val="0"/>
                      <w:sz w:val="16"/>
                      <w:szCs w:val="16"/>
                    </w:rPr>
                  </w:pPr>
                  <w:r w:rsidRPr="004B50AF">
                    <w:rPr>
                      <w:rFonts w:eastAsia="等线" w:cs="Arial"/>
                      <w:b/>
                      <w:bCs/>
                      <w:color w:val="FFFFFF"/>
                      <w:kern w:val="0"/>
                      <w:sz w:val="16"/>
                      <w:szCs w:val="16"/>
                    </w:rPr>
                    <w:t>7Y</w:t>
                  </w:r>
                </w:p>
              </w:tc>
              <w:tc>
                <w:tcPr>
                  <w:tcW w:w="1096" w:type="dxa"/>
                  <w:tcBorders>
                    <w:top w:val="single" w:sz="8" w:space="0" w:color="C0002E"/>
                    <w:left w:val="nil"/>
                    <w:bottom w:val="single" w:sz="4" w:space="0" w:color="C0504D"/>
                    <w:right w:val="nil"/>
                  </w:tcBorders>
                  <w:shd w:val="clear" w:color="000000" w:fill="C0504D"/>
                  <w:noWrap/>
                  <w:vAlign w:val="center"/>
                  <w:hideMark/>
                </w:tcPr>
                <w:p w14:paraId="509152D3" w14:textId="77777777" w:rsidR="00BF6591" w:rsidRPr="004B50AF" w:rsidRDefault="00BF6591" w:rsidP="0089070E">
                  <w:pPr>
                    <w:widowControl/>
                    <w:jc w:val="center"/>
                    <w:rPr>
                      <w:rFonts w:eastAsia="等线" w:cs="Arial"/>
                      <w:b/>
                      <w:bCs/>
                      <w:color w:val="FFFFFF"/>
                      <w:kern w:val="0"/>
                      <w:sz w:val="16"/>
                      <w:szCs w:val="16"/>
                    </w:rPr>
                  </w:pPr>
                  <w:r w:rsidRPr="004B50AF">
                    <w:rPr>
                      <w:rFonts w:eastAsia="等线" w:cs="Arial"/>
                      <w:b/>
                      <w:bCs/>
                      <w:color w:val="FFFFFF"/>
                      <w:kern w:val="0"/>
                      <w:sz w:val="16"/>
                      <w:szCs w:val="16"/>
                    </w:rPr>
                    <w:t>10Y</w:t>
                  </w:r>
                </w:p>
              </w:tc>
            </w:tr>
            <w:tr w:rsidR="00BF6591" w:rsidRPr="004B50AF" w14:paraId="06B1F1F2" w14:textId="77777777" w:rsidTr="0089070E">
              <w:trPr>
                <w:trHeight w:val="280"/>
              </w:trPr>
              <w:tc>
                <w:tcPr>
                  <w:tcW w:w="1716" w:type="dxa"/>
                  <w:tcBorders>
                    <w:top w:val="nil"/>
                    <w:left w:val="nil"/>
                    <w:bottom w:val="nil"/>
                    <w:right w:val="nil"/>
                  </w:tcBorders>
                  <w:shd w:val="clear" w:color="auto" w:fill="auto"/>
                  <w:noWrap/>
                  <w:vAlign w:val="center"/>
                  <w:hideMark/>
                </w:tcPr>
                <w:p w14:paraId="4FC5D5E8" w14:textId="77777777" w:rsidR="00BF6591" w:rsidRPr="004B50AF" w:rsidRDefault="00BF6591" w:rsidP="0089070E">
                  <w:pPr>
                    <w:widowControl/>
                    <w:jc w:val="center"/>
                    <w:rPr>
                      <w:rFonts w:eastAsia="等线" w:cs="Arial"/>
                      <w:color w:val="000000"/>
                      <w:kern w:val="0"/>
                      <w:sz w:val="16"/>
                      <w:szCs w:val="16"/>
                    </w:rPr>
                  </w:pPr>
                  <w:r w:rsidRPr="004B50AF">
                    <w:rPr>
                      <w:rFonts w:ascii="华文楷体" w:eastAsia="华文楷体" w:hAnsi="华文楷体" w:cs="Arial" w:hint="eastAsia"/>
                      <w:color w:val="000000"/>
                      <w:kern w:val="0"/>
                      <w:sz w:val="16"/>
                      <w:szCs w:val="16"/>
                    </w:rPr>
                    <w:t>国债</w:t>
                  </w:r>
                </w:p>
              </w:tc>
              <w:tc>
                <w:tcPr>
                  <w:tcW w:w="1136" w:type="dxa"/>
                  <w:tcBorders>
                    <w:top w:val="nil"/>
                    <w:left w:val="nil"/>
                    <w:bottom w:val="nil"/>
                    <w:right w:val="nil"/>
                  </w:tcBorders>
                  <w:shd w:val="clear" w:color="auto" w:fill="auto"/>
                  <w:noWrap/>
                  <w:vAlign w:val="center"/>
                  <w:hideMark/>
                </w:tcPr>
                <w:p w14:paraId="73AC0FE7"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2.96</w:t>
                  </w:r>
                </w:p>
              </w:tc>
              <w:tc>
                <w:tcPr>
                  <w:tcW w:w="1736" w:type="dxa"/>
                  <w:tcBorders>
                    <w:top w:val="nil"/>
                    <w:left w:val="nil"/>
                    <w:bottom w:val="nil"/>
                    <w:right w:val="nil"/>
                  </w:tcBorders>
                  <w:shd w:val="clear" w:color="auto" w:fill="auto"/>
                  <w:noWrap/>
                  <w:vAlign w:val="center"/>
                  <w:hideMark/>
                </w:tcPr>
                <w:p w14:paraId="2AEAFCF7"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2.13</w:t>
                  </w:r>
                </w:p>
              </w:tc>
              <w:tc>
                <w:tcPr>
                  <w:tcW w:w="1096" w:type="dxa"/>
                  <w:tcBorders>
                    <w:top w:val="nil"/>
                    <w:left w:val="nil"/>
                    <w:bottom w:val="nil"/>
                    <w:right w:val="nil"/>
                  </w:tcBorders>
                  <w:shd w:val="clear" w:color="auto" w:fill="auto"/>
                  <w:noWrap/>
                  <w:vAlign w:val="center"/>
                  <w:hideMark/>
                </w:tcPr>
                <w:p w14:paraId="13F766E0"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2.57</w:t>
                  </w:r>
                </w:p>
              </w:tc>
              <w:tc>
                <w:tcPr>
                  <w:tcW w:w="1096" w:type="dxa"/>
                  <w:tcBorders>
                    <w:top w:val="nil"/>
                    <w:left w:val="nil"/>
                    <w:bottom w:val="nil"/>
                    <w:right w:val="nil"/>
                  </w:tcBorders>
                  <w:shd w:val="clear" w:color="auto" w:fill="auto"/>
                  <w:noWrap/>
                  <w:vAlign w:val="center"/>
                  <w:hideMark/>
                </w:tcPr>
                <w:p w14:paraId="15325C5F" w14:textId="77777777" w:rsidR="00BF6591" w:rsidRPr="004B50AF" w:rsidRDefault="00BF6591" w:rsidP="0089070E">
                  <w:pPr>
                    <w:widowControl/>
                    <w:jc w:val="center"/>
                    <w:rPr>
                      <w:rFonts w:eastAsia="等线" w:cs="Arial"/>
                      <w:color w:val="000000"/>
                      <w:kern w:val="0"/>
                      <w:sz w:val="16"/>
                      <w:szCs w:val="16"/>
                    </w:rPr>
                  </w:pPr>
                </w:p>
              </w:tc>
              <w:tc>
                <w:tcPr>
                  <w:tcW w:w="1096" w:type="dxa"/>
                  <w:tcBorders>
                    <w:top w:val="nil"/>
                    <w:left w:val="nil"/>
                    <w:bottom w:val="nil"/>
                    <w:right w:val="nil"/>
                  </w:tcBorders>
                  <w:shd w:val="clear" w:color="auto" w:fill="auto"/>
                  <w:noWrap/>
                  <w:vAlign w:val="center"/>
                  <w:hideMark/>
                </w:tcPr>
                <w:p w14:paraId="480E5671" w14:textId="77777777" w:rsidR="00BF6591" w:rsidRPr="004B50AF" w:rsidRDefault="00BF6591" w:rsidP="0089070E">
                  <w:pPr>
                    <w:widowControl/>
                    <w:jc w:val="center"/>
                    <w:rPr>
                      <w:rFonts w:ascii="Times New Roman" w:eastAsia="Times New Roman" w:hAnsi="Times New Roman"/>
                      <w:kern w:val="0"/>
                      <w:sz w:val="20"/>
                      <w:szCs w:val="20"/>
                    </w:rPr>
                  </w:pPr>
                </w:p>
              </w:tc>
              <w:tc>
                <w:tcPr>
                  <w:tcW w:w="1096" w:type="dxa"/>
                  <w:tcBorders>
                    <w:top w:val="nil"/>
                    <w:left w:val="nil"/>
                    <w:bottom w:val="nil"/>
                    <w:right w:val="nil"/>
                  </w:tcBorders>
                  <w:shd w:val="clear" w:color="auto" w:fill="auto"/>
                  <w:noWrap/>
                  <w:vAlign w:val="center"/>
                  <w:hideMark/>
                </w:tcPr>
                <w:p w14:paraId="69171426" w14:textId="77777777" w:rsidR="00BF6591" w:rsidRPr="004B50AF" w:rsidRDefault="00BF6591" w:rsidP="0089070E">
                  <w:pPr>
                    <w:widowControl/>
                    <w:jc w:val="center"/>
                    <w:rPr>
                      <w:rFonts w:ascii="Times New Roman" w:eastAsia="Times New Roman" w:hAnsi="Times New Roman"/>
                      <w:kern w:val="0"/>
                      <w:sz w:val="20"/>
                      <w:szCs w:val="20"/>
                    </w:rPr>
                  </w:pPr>
                </w:p>
              </w:tc>
              <w:tc>
                <w:tcPr>
                  <w:tcW w:w="1096" w:type="dxa"/>
                  <w:tcBorders>
                    <w:top w:val="nil"/>
                    <w:left w:val="nil"/>
                    <w:bottom w:val="nil"/>
                    <w:right w:val="nil"/>
                  </w:tcBorders>
                  <w:shd w:val="clear" w:color="auto" w:fill="auto"/>
                  <w:noWrap/>
                  <w:vAlign w:val="center"/>
                  <w:hideMark/>
                </w:tcPr>
                <w:p w14:paraId="356CF39C" w14:textId="77777777" w:rsidR="00BF6591" w:rsidRPr="004B50AF" w:rsidRDefault="00BF6591" w:rsidP="0089070E">
                  <w:pPr>
                    <w:widowControl/>
                    <w:jc w:val="center"/>
                    <w:rPr>
                      <w:rFonts w:ascii="Times New Roman" w:eastAsia="Times New Roman" w:hAnsi="Times New Roman"/>
                      <w:kern w:val="0"/>
                      <w:sz w:val="20"/>
                      <w:szCs w:val="20"/>
                    </w:rPr>
                  </w:pPr>
                </w:p>
              </w:tc>
              <w:tc>
                <w:tcPr>
                  <w:tcW w:w="1096" w:type="dxa"/>
                  <w:tcBorders>
                    <w:top w:val="nil"/>
                    <w:left w:val="nil"/>
                    <w:bottom w:val="nil"/>
                    <w:right w:val="nil"/>
                  </w:tcBorders>
                  <w:shd w:val="clear" w:color="auto" w:fill="auto"/>
                  <w:noWrap/>
                  <w:vAlign w:val="center"/>
                  <w:hideMark/>
                </w:tcPr>
                <w:p w14:paraId="2FCA808A"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5.6</w:t>
                  </w:r>
                </w:p>
              </w:tc>
            </w:tr>
            <w:tr w:rsidR="00BF6591" w:rsidRPr="004B50AF" w14:paraId="0D0BA65E" w14:textId="77777777" w:rsidTr="0089070E">
              <w:trPr>
                <w:trHeight w:val="280"/>
              </w:trPr>
              <w:tc>
                <w:tcPr>
                  <w:tcW w:w="1716" w:type="dxa"/>
                  <w:tcBorders>
                    <w:top w:val="nil"/>
                    <w:left w:val="nil"/>
                    <w:bottom w:val="nil"/>
                    <w:right w:val="nil"/>
                  </w:tcBorders>
                  <w:shd w:val="clear" w:color="auto" w:fill="auto"/>
                  <w:noWrap/>
                  <w:vAlign w:val="center"/>
                  <w:hideMark/>
                </w:tcPr>
                <w:p w14:paraId="739B9326" w14:textId="77777777" w:rsidR="00BF6591" w:rsidRPr="004B50AF" w:rsidRDefault="00BF6591" w:rsidP="0089070E">
                  <w:pPr>
                    <w:widowControl/>
                    <w:jc w:val="center"/>
                    <w:rPr>
                      <w:rFonts w:eastAsia="等线" w:cs="Arial"/>
                      <w:color w:val="000000"/>
                      <w:kern w:val="0"/>
                      <w:sz w:val="16"/>
                      <w:szCs w:val="16"/>
                    </w:rPr>
                  </w:pPr>
                  <w:r w:rsidRPr="004B50AF">
                    <w:rPr>
                      <w:rFonts w:ascii="华文楷体" w:eastAsia="华文楷体" w:hAnsi="华文楷体" w:cs="Arial" w:hint="eastAsia"/>
                      <w:color w:val="000000"/>
                      <w:kern w:val="0"/>
                      <w:sz w:val="16"/>
                      <w:szCs w:val="16"/>
                    </w:rPr>
                    <w:t>国开债</w:t>
                  </w:r>
                </w:p>
              </w:tc>
              <w:tc>
                <w:tcPr>
                  <w:tcW w:w="1136" w:type="dxa"/>
                  <w:tcBorders>
                    <w:top w:val="nil"/>
                    <w:left w:val="nil"/>
                    <w:bottom w:val="nil"/>
                    <w:right w:val="nil"/>
                  </w:tcBorders>
                  <w:shd w:val="clear" w:color="auto" w:fill="auto"/>
                  <w:noWrap/>
                  <w:vAlign w:val="bottom"/>
                  <w:hideMark/>
                </w:tcPr>
                <w:p w14:paraId="32690886" w14:textId="77777777" w:rsidR="00BF6591" w:rsidRPr="004B50AF" w:rsidRDefault="00BF6591" w:rsidP="0089070E">
                  <w:pPr>
                    <w:widowControl/>
                    <w:jc w:val="center"/>
                    <w:rPr>
                      <w:rFonts w:eastAsia="等线" w:cs="Arial"/>
                      <w:color w:val="000000"/>
                      <w:kern w:val="0"/>
                      <w:sz w:val="16"/>
                      <w:szCs w:val="16"/>
                    </w:rPr>
                  </w:pPr>
                </w:p>
              </w:tc>
              <w:tc>
                <w:tcPr>
                  <w:tcW w:w="1736" w:type="dxa"/>
                  <w:tcBorders>
                    <w:top w:val="nil"/>
                    <w:left w:val="nil"/>
                    <w:bottom w:val="nil"/>
                    <w:right w:val="nil"/>
                  </w:tcBorders>
                  <w:shd w:val="clear" w:color="auto" w:fill="auto"/>
                  <w:noWrap/>
                  <w:vAlign w:val="bottom"/>
                  <w:hideMark/>
                </w:tcPr>
                <w:p w14:paraId="0278CFEE" w14:textId="77777777" w:rsidR="00BF6591" w:rsidRPr="004B50AF" w:rsidRDefault="00BF6591" w:rsidP="0089070E">
                  <w:pPr>
                    <w:widowControl/>
                    <w:jc w:val="center"/>
                    <w:rPr>
                      <w:rFonts w:ascii="Times New Roman" w:eastAsia="Times New Roman" w:hAnsi="Times New Roman"/>
                      <w:kern w:val="0"/>
                      <w:sz w:val="20"/>
                      <w:szCs w:val="20"/>
                    </w:rPr>
                  </w:pPr>
                </w:p>
              </w:tc>
              <w:tc>
                <w:tcPr>
                  <w:tcW w:w="1096" w:type="dxa"/>
                  <w:tcBorders>
                    <w:top w:val="nil"/>
                    <w:left w:val="nil"/>
                    <w:bottom w:val="nil"/>
                    <w:right w:val="nil"/>
                  </w:tcBorders>
                  <w:shd w:val="clear" w:color="auto" w:fill="auto"/>
                  <w:noWrap/>
                  <w:vAlign w:val="center"/>
                  <w:hideMark/>
                </w:tcPr>
                <w:p w14:paraId="6FCD895E"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3.51</w:t>
                  </w:r>
                </w:p>
              </w:tc>
              <w:tc>
                <w:tcPr>
                  <w:tcW w:w="1096" w:type="dxa"/>
                  <w:tcBorders>
                    <w:top w:val="nil"/>
                    <w:left w:val="nil"/>
                    <w:bottom w:val="nil"/>
                    <w:right w:val="nil"/>
                  </w:tcBorders>
                  <w:shd w:val="clear" w:color="auto" w:fill="auto"/>
                  <w:noWrap/>
                  <w:vAlign w:val="bottom"/>
                  <w:hideMark/>
                </w:tcPr>
                <w:p w14:paraId="3B1BC5ED" w14:textId="77777777" w:rsidR="00BF6591" w:rsidRPr="004B50AF" w:rsidRDefault="00BF6591" w:rsidP="0089070E">
                  <w:pPr>
                    <w:widowControl/>
                    <w:jc w:val="center"/>
                    <w:rPr>
                      <w:rFonts w:eastAsia="等线" w:cs="Arial"/>
                      <w:color w:val="000000"/>
                      <w:kern w:val="0"/>
                      <w:sz w:val="16"/>
                      <w:szCs w:val="16"/>
                    </w:rPr>
                  </w:pPr>
                </w:p>
              </w:tc>
              <w:tc>
                <w:tcPr>
                  <w:tcW w:w="1096" w:type="dxa"/>
                  <w:tcBorders>
                    <w:top w:val="nil"/>
                    <w:left w:val="nil"/>
                    <w:bottom w:val="nil"/>
                    <w:right w:val="nil"/>
                  </w:tcBorders>
                  <w:shd w:val="clear" w:color="auto" w:fill="auto"/>
                  <w:noWrap/>
                  <w:vAlign w:val="center"/>
                  <w:hideMark/>
                </w:tcPr>
                <w:p w14:paraId="3384D95C"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5.27/7.40</w:t>
                  </w:r>
                </w:p>
              </w:tc>
              <w:tc>
                <w:tcPr>
                  <w:tcW w:w="1096" w:type="dxa"/>
                  <w:tcBorders>
                    <w:top w:val="nil"/>
                    <w:left w:val="nil"/>
                    <w:bottom w:val="nil"/>
                    <w:right w:val="nil"/>
                  </w:tcBorders>
                  <w:shd w:val="clear" w:color="auto" w:fill="auto"/>
                  <w:noWrap/>
                  <w:vAlign w:val="center"/>
                  <w:hideMark/>
                </w:tcPr>
                <w:p w14:paraId="0A93641C"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5.46</w:t>
                  </w:r>
                </w:p>
              </w:tc>
              <w:tc>
                <w:tcPr>
                  <w:tcW w:w="1096" w:type="dxa"/>
                  <w:tcBorders>
                    <w:top w:val="nil"/>
                    <w:left w:val="nil"/>
                    <w:bottom w:val="nil"/>
                    <w:right w:val="nil"/>
                  </w:tcBorders>
                  <w:shd w:val="clear" w:color="auto" w:fill="auto"/>
                  <w:noWrap/>
                  <w:vAlign w:val="center"/>
                  <w:hideMark/>
                </w:tcPr>
                <w:p w14:paraId="537436CD"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6.75</w:t>
                  </w:r>
                </w:p>
              </w:tc>
              <w:tc>
                <w:tcPr>
                  <w:tcW w:w="1096" w:type="dxa"/>
                  <w:tcBorders>
                    <w:top w:val="nil"/>
                    <w:left w:val="nil"/>
                    <w:bottom w:val="nil"/>
                    <w:right w:val="nil"/>
                  </w:tcBorders>
                  <w:shd w:val="clear" w:color="auto" w:fill="auto"/>
                  <w:noWrap/>
                  <w:vAlign w:val="center"/>
                  <w:hideMark/>
                </w:tcPr>
                <w:p w14:paraId="2C672BE4"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4.28</w:t>
                  </w:r>
                </w:p>
              </w:tc>
            </w:tr>
            <w:tr w:rsidR="00BF6591" w:rsidRPr="004B50AF" w14:paraId="33F7B991" w14:textId="77777777" w:rsidTr="0089070E">
              <w:trPr>
                <w:trHeight w:val="280"/>
              </w:trPr>
              <w:tc>
                <w:tcPr>
                  <w:tcW w:w="1716" w:type="dxa"/>
                  <w:tcBorders>
                    <w:top w:val="nil"/>
                    <w:left w:val="nil"/>
                    <w:bottom w:val="nil"/>
                    <w:right w:val="nil"/>
                  </w:tcBorders>
                  <w:shd w:val="clear" w:color="auto" w:fill="auto"/>
                  <w:noWrap/>
                  <w:vAlign w:val="center"/>
                  <w:hideMark/>
                </w:tcPr>
                <w:p w14:paraId="12FA2424" w14:textId="77777777" w:rsidR="00BF6591" w:rsidRPr="004B50AF" w:rsidRDefault="00BF6591" w:rsidP="0089070E">
                  <w:pPr>
                    <w:widowControl/>
                    <w:jc w:val="center"/>
                    <w:rPr>
                      <w:rFonts w:eastAsia="等线" w:cs="Arial"/>
                      <w:color w:val="000000"/>
                      <w:kern w:val="0"/>
                      <w:sz w:val="16"/>
                      <w:szCs w:val="16"/>
                    </w:rPr>
                  </w:pPr>
                  <w:r w:rsidRPr="004B50AF">
                    <w:rPr>
                      <w:rFonts w:ascii="华文楷体" w:eastAsia="华文楷体" w:hAnsi="华文楷体" w:cs="Arial" w:hint="eastAsia"/>
                      <w:color w:val="000000"/>
                      <w:kern w:val="0"/>
                      <w:sz w:val="16"/>
                      <w:szCs w:val="16"/>
                    </w:rPr>
                    <w:t>农发债</w:t>
                  </w:r>
                </w:p>
              </w:tc>
              <w:tc>
                <w:tcPr>
                  <w:tcW w:w="1136" w:type="dxa"/>
                  <w:tcBorders>
                    <w:top w:val="nil"/>
                    <w:left w:val="nil"/>
                    <w:bottom w:val="nil"/>
                    <w:right w:val="nil"/>
                  </w:tcBorders>
                  <w:shd w:val="clear" w:color="auto" w:fill="auto"/>
                  <w:noWrap/>
                  <w:vAlign w:val="center"/>
                  <w:hideMark/>
                </w:tcPr>
                <w:p w14:paraId="21493134" w14:textId="77777777" w:rsidR="00BF6591" w:rsidRPr="004B50AF" w:rsidRDefault="00BF6591" w:rsidP="0089070E">
                  <w:pPr>
                    <w:widowControl/>
                    <w:jc w:val="center"/>
                    <w:rPr>
                      <w:rFonts w:eastAsia="等线" w:cs="Arial"/>
                      <w:color w:val="000000"/>
                      <w:kern w:val="0"/>
                      <w:sz w:val="16"/>
                      <w:szCs w:val="16"/>
                    </w:rPr>
                  </w:pPr>
                </w:p>
              </w:tc>
              <w:tc>
                <w:tcPr>
                  <w:tcW w:w="1736" w:type="dxa"/>
                  <w:tcBorders>
                    <w:top w:val="nil"/>
                    <w:left w:val="nil"/>
                    <w:bottom w:val="nil"/>
                    <w:right w:val="nil"/>
                  </w:tcBorders>
                  <w:shd w:val="clear" w:color="auto" w:fill="auto"/>
                  <w:noWrap/>
                  <w:vAlign w:val="bottom"/>
                  <w:hideMark/>
                </w:tcPr>
                <w:p w14:paraId="0FF14D3E" w14:textId="77777777" w:rsidR="00BF6591" w:rsidRPr="004B50AF" w:rsidRDefault="00BF6591" w:rsidP="0089070E">
                  <w:pPr>
                    <w:widowControl/>
                    <w:jc w:val="center"/>
                    <w:rPr>
                      <w:rFonts w:ascii="Times New Roman" w:eastAsia="Times New Roman" w:hAnsi="Times New Roman"/>
                      <w:kern w:val="0"/>
                      <w:sz w:val="20"/>
                      <w:szCs w:val="20"/>
                    </w:rPr>
                  </w:pPr>
                </w:p>
              </w:tc>
              <w:tc>
                <w:tcPr>
                  <w:tcW w:w="1096" w:type="dxa"/>
                  <w:tcBorders>
                    <w:top w:val="nil"/>
                    <w:left w:val="nil"/>
                    <w:bottom w:val="nil"/>
                    <w:right w:val="nil"/>
                  </w:tcBorders>
                  <w:shd w:val="clear" w:color="auto" w:fill="auto"/>
                  <w:noWrap/>
                  <w:vAlign w:val="center"/>
                  <w:hideMark/>
                </w:tcPr>
                <w:p w14:paraId="372D0397"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4.03</w:t>
                  </w:r>
                </w:p>
              </w:tc>
              <w:tc>
                <w:tcPr>
                  <w:tcW w:w="1096" w:type="dxa"/>
                  <w:tcBorders>
                    <w:top w:val="nil"/>
                    <w:left w:val="nil"/>
                    <w:bottom w:val="nil"/>
                    <w:right w:val="nil"/>
                  </w:tcBorders>
                  <w:shd w:val="clear" w:color="auto" w:fill="auto"/>
                  <w:noWrap/>
                  <w:vAlign w:val="center"/>
                  <w:hideMark/>
                </w:tcPr>
                <w:p w14:paraId="54EF76F2"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4.54</w:t>
                  </w:r>
                </w:p>
              </w:tc>
              <w:tc>
                <w:tcPr>
                  <w:tcW w:w="1096" w:type="dxa"/>
                  <w:tcBorders>
                    <w:top w:val="nil"/>
                    <w:left w:val="nil"/>
                    <w:bottom w:val="nil"/>
                    <w:right w:val="nil"/>
                  </w:tcBorders>
                  <w:shd w:val="clear" w:color="auto" w:fill="auto"/>
                  <w:noWrap/>
                  <w:vAlign w:val="center"/>
                  <w:hideMark/>
                </w:tcPr>
                <w:p w14:paraId="01B2F982"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4.09</w:t>
                  </w:r>
                </w:p>
              </w:tc>
              <w:tc>
                <w:tcPr>
                  <w:tcW w:w="1096" w:type="dxa"/>
                  <w:tcBorders>
                    <w:top w:val="nil"/>
                    <w:left w:val="nil"/>
                    <w:bottom w:val="nil"/>
                    <w:right w:val="nil"/>
                  </w:tcBorders>
                  <w:shd w:val="clear" w:color="auto" w:fill="auto"/>
                  <w:noWrap/>
                  <w:vAlign w:val="center"/>
                  <w:hideMark/>
                </w:tcPr>
                <w:p w14:paraId="4A1AB0AA"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4.01</w:t>
                  </w:r>
                </w:p>
              </w:tc>
              <w:tc>
                <w:tcPr>
                  <w:tcW w:w="1096" w:type="dxa"/>
                  <w:tcBorders>
                    <w:top w:val="nil"/>
                    <w:left w:val="nil"/>
                    <w:bottom w:val="nil"/>
                    <w:right w:val="nil"/>
                  </w:tcBorders>
                  <w:shd w:val="clear" w:color="auto" w:fill="auto"/>
                  <w:noWrap/>
                  <w:vAlign w:val="center"/>
                  <w:hideMark/>
                </w:tcPr>
                <w:p w14:paraId="7CF84BB0"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3.21</w:t>
                  </w:r>
                </w:p>
              </w:tc>
              <w:tc>
                <w:tcPr>
                  <w:tcW w:w="1096" w:type="dxa"/>
                  <w:tcBorders>
                    <w:top w:val="nil"/>
                    <w:left w:val="nil"/>
                    <w:bottom w:val="nil"/>
                    <w:right w:val="nil"/>
                  </w:tcBorders>
                  <w:shd w:val="clear" w:color="auto" w:fill="auto"/>
                  <w:noWrap/>
                  <w:vAlign w:val="center"/>
                  <w:hideMark/>
                </w:tcPr>
                <w:p w14:paraId="5C7C9F4A"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4.58</w:t>
                  </w:r>
                </w:p>
              </w:tc>
            </w:tr>
            <w:tr w:rsidR="00BF6591" w:rsidRPr="004B50AF" w14:paraId="3351BB32" w14:textId="77777777" w:rsidTr="0089070E">
              <w:trPr>
                <w:trHeight w:val="280"/>
              </w:trPr>
              <w:tc>
                <w:tcPr>
                  <w:tcW w:w="1716" w:type="dxa"/>
                  <w:tcBorders>
                    <w:top w:val="nil"/>
                    <w:left w:val="nil"/>
                    <w:bottom w:val="nil"/>
                    <w:right w:val="nil"/>
                  </w:tcBorders>
                  <w:shd w:val="clear" w:color="auto" w:fill="auto"/>
                  <w:noWrap/>
                  <w:vAlign w:val="center"/>
                  <w:hideMark/>
                </w:tcPr>
                <w:p w14:paraId="4196C7CB" w14:textId="77777777" w:rsidR="00BF6591" w:rsidRPr="004B50AF" w:rsidRDefault="00BF6591" w:rsidP="0089070E">
                  <w:pPr>
                    <w:widowControl/>
                    <w:jc w:val="center"/>
                    <w:rPr>
                      <w:rFonts w:eastAsia="等线" w:cs="Arial"/>
                      <w:color w:val="000000"/>
                      <w:kern w:val="0"/>
                      <w:sz w:val="16"/>
                      <w:szCs w:val="16"/>
                    </w:rPr>
                  </w:pPr>
                  <w:r w:rsidRPr="004B50AF">
                    <w:rPr>
                      <w:rFonts w:ascii="华文楷体" w:eastAsia="华文楷体" w:hAnsi="华文楷体" w:cs="Arial" w:hint="eastAsia"/>
                      <w:color w:val="000000"/>
                      <w:kern w:val="0"/>
                      <w:sz w:val="16"/>
                      <w:szCs w:val="16"/>
                    </w:rPr>
                    <w:t>口行债</w:t>
                  </w:r>
                </w:p>
              </w:tc>
              <w:tc>
                <w:tcPr>
                  <w:tcW w:w="1136" w:type="dxa"/>
                  <w:tcBorders>
                    <w:top w:val="nil"/>
                    <w:left w:val="nil"/>
                    <w:bottom w:val="nil"/>
                    <w:right w:val="nil"/>
                  </w:tcBorders>
                  <w:shd w:val="clear" w:color="auto" w:fill="auto"/>
                  <w:noWrap/>
                  <w:vAlign w:val="center"/>
                  <w:hideMark/>
                </w:tcPr>
                <w:p w14:paraId="507B8199" w14:textId="77777777" w:rsidR="00BF6591" w:rsidRPr="004B50AF" w:rsidRDefault="00BF6591" w:rsidP="0089070E">
                  <w:pPr>
                    <w:widowControl/>
                    <w:jc w:val="center"/>
                    <w:rPr>
                      <w:rFonts w:eastAsia="等线" w:cs="Arial"/>
                      <w:color w:val="000000"/>
                      <w:kern w:val="0"/>
                      <w:sz w:val="16"/>
                      <w:szCs w:val="16"/>
                    </w:rPr>
                  </w:pPr>
                </w:p>
              </w:tc>
              <w:tc>
                <w:tcPr>
                  <w:tcW w:w="1736" w:type="dxa"/>
                  <w:tcBorders>
                    <w:top w:val="nil"/>
                    <w:left w:val="nil"/>
                    <w:bottom w:val="nil"/>
                    <w:right w:val="nil"/>
                  </w:tcBorders>
                  <w:shd w:val="clear" w:color="auto" w:fill="auto"/>
                  <w:noWrap/>
                  <w:vAlign w:val="center"/>
                  <w:hideMark/>
                </w:tcPr>
                <w:p w14:paraId="2D27B608" w14:textId="77777777" w:rsidR="00BF6591" w:rsidRPr="004B50AF" w:rsidRDefault="00BF6591" w:rsidP="0089070E">
                  <w:pPr>
                    <w:widowControl/>
                    <w:jc w:val="center"/>
                    <w:rPr>
                      <w:rFonts w:ascii="Times New Roman" w:eastAsia="Times New Roman" w:hAnsi="Times New Roman"/>
                      <w:kern w:val="0"/>
                      <w:sz w:val="20"/>
                      <w:szCs w:val="20"/>
                    </w:rPr>
                  </w:pPr>
                </w:p>
              </w:tc>
              <w:tc>
                <w:tcPr>
                  <w:tcW w:w="1096" w:type="dxa"/>
                  <w:tcBorders>
                    <w:top w:val="nil"/>
                    <w:left w:val="nil"/>
                    <w:bottom w:val="nil"/>
                    <w:right w:val="nil"/>
                  </w:tcBorders>
                  <w:shd w:val="clear" w:color="auto" w:fill="auto"/>
                  <w:noWrap/>
                  <w:vAlign w:val="center"/>
                  <w:hideMark/>
                </w:tcPr>
                <w:p w14:paraId="677F1683"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6.18</w:t>
                  </w:r>
                </w:p>
              </w:tc>
              <w:tc>
                <w:tcPr>
                  <w:tcW w:w="1096" w:type="dxa"/>
                  <w:tcBorders>
                    <w:top w:val="nil"/>
                    <w:left w:val="nil"/>
                    <w:bottom w:val="nil"/>
                    <w:right w:val="nil"/>
                  </w:tcBorders>
                  <w:shd w:val="clear" w:color="auto" w:fill="auto"/>
                  <w:noWrap/>
                  <w:vAlign w:val="center"/>
                  <w:hideMark/>
                </w:tcPr>
                <w:p w14:paraId="118F95FB"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8.37</w:t>
                  </w:r>
                </w:p>
              </w:tc>
              <w:tc>
                <w:tcPr>
                  <w:tcW w:w="1096" w:type="dxa"/>
                  <w:tcBorders>
                    <w:top w:val="nil"/>
                    <w:left w:val="nil"/>
                    <w:bottom w:val="nil"/>
                    <w:right w:val="nil"/>
                  </w:tcBorders>
                  <w:shd w:val="clear" w:color="auto" w:fill="auto"/>
                  <w:noWrap/>
                  <w:vAlign w:val="center"/>
                  <w:hideMark/>
                </w:tcPr>
                <w:p w14:paraId="4C79715C"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8.62</w:t>
                  </w:r>
                </w:p>
              </w:tc>
              <w:tc>
                <w:tcPr>
                  <w:tcW w:w="1096" w:type="dxa"/>
                  <w:tcBorders>
                    <w:top w:val="nil"/>
                    <w:left w:val="nil"/>
                    <w:bottom w:val="nil"/>
                    <w:right w:val="nil"/>
                  </w:tcBorders>
                  <w:shd w:val="clear" w:color="auto" w:fill="auto"/>
                  <w:noWrap/>
                  <w:vAlign w:val="center"/>
                  <w:hideMark/>
                </w:tcPr>
                <w:p w14:paraId="69FEB295"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7.15/8.50</w:t>
                  </w:r>
                </w:p>
              </w:tc>
              <w:tc>
                <w:tcPr>
                  <w:tcW w:w="1096" w:type="dxa"/>
                  <w:tcBorders>
                    <w:top w:val="nil"/>
                    <w:left w:val="nil"/>
                    <w:bottom w:val="nil"/>
                    <w:right w:val="nil"/>
                  </w:tcBorders>
                  <w:shd w:val="clear" w:color="auto" w:fill="auto"/>
                  <w:noWrap/>
                  <w:vAlign w:val="center"/>
                  <w:hideMark/>
                </w:tcPr>
                <w:p w14:paraId="6B15E800" w14:textId="77777777" w:rsidR="00BF6591" w:rsidRPr="004B50AF" w:rsidRDefault="00BF6591" w:rsidP="0089070E">
                  <w:pPr>
                    <w:widowControl/>
                    <w:jc w:val="center"/>
                    <w:rPr>
                      <w:rFonts w:eastAsia="等线" w:cs="Arial"/>
                      <w:color w:val="000000"/>
                      <w:kern w:val="0"/>
                      <w:sz w:val="16"/>
                      <w:szCs w:val="16"/>
                    </w:rPr>
                  </w:pPr>
                </w:p>
              </w:tc>
              <w:tc>
                <w:tcPr>
                  <w:tcW w:w="1096" w:type="dxa"/>
                  <w:tcBorders>
                    <w:top w:val="nil"/>
                    <w:left w:val="nil"/>
                    <w:bottom w:val="nil"/>
                    <w:right w:val="nil"/>
                  </w:tcBorders>
                  <w:shd w:val="clear" w:color="auto" w:fill="auto"/>
                  <w:noWrap/>
                  <w:vAlign w:val="center"/>
                  <w:hideMark/>
                </w:tcPr>
                <w:p w14:paraId="42723B17" w14:textId="77777777" w:rsidR="00BF6591" w:rsidRPr="004B50AF" w:rsidRDefault="00BF6591" w:rsidP="0089070E">
                  <w:pPr>
                    <w:widowControl/>
                    <w:jc w:val="center"/>
                    <w:rPr>
                      <w:rFonts w:eastAsia="等线" w:cs="Arial"/>
                      <w:color w:val="000000"/>
                      <w:kern w:val="0"/>
                      <w:sz w:val="16"/>
                      <w:szCs w:val="16"/>
                    </w:rPr>
                  </w:pPr>
                  <w:r w:rsidRPr="004B50AF">
                    <w:rPr>
                      <w:rFonts w:eastAsia="等线" w:cs="Arial"/>
                      <w:color w:val="000000"/>
                      <w:kern w:val="0"/>
                      <w:sz w:val="16"/>
                      <w:szCs w:val="16"/>
                    </w:rPr>
                    <w:t>6.42</w:t>
                  </w:r>
                </w:p>
              </w:tc>
            </w:tr>
          </w:tbl>
          <w:p w14:paraId="61873ED6" w14:textId="77777777" w:rsidR="00BF6591" w:rsidRPr="00912CFA" w:rsidRDefault="00BF6591" w:rsidP="0089070E">
            <w:pPr>
              <w:rPr>
                <w:rFonts w:cs="Arial"/>
                <w:b/>
                <w:i/>
                <w:color w:val="C00000"/>
              </w:rPr>
            </w:pPr>
          </w:p>
        </w:tc>
      </w:tr>
      <w:tr w:rsidR="00BF6591" w:rsidRPr="00D85A79" w14:paraId="179F4085" w14:textId="77777777" w:rsidTr="0089070E">
        <w:trPr>
          <w:trHeight w:val="57"/>
        </w:trPr>
        <w:tc>
          <w:tcPr>
            <w:tcW w:w="10170" w:type="dxa"/>
            <w:tcBorders>
              <w:top w:val="single" w:sz="2" w:space="0" w:color="C00000"/>
            </w:tcBorders>
            <w:shd w:val="clear" w:color="auto" w:fill="auto"/>
          </w:tcPr>
          <w:p w14:paraId="533AF393" w14:textId="77777777" w:rsidR="00BF6591" w:rsidRPr="00D85A79" w:rsidRDefault="00BF6591" w:rsidP="0089070E">
            <w:pPr>
              <w:jc w:val="left"/>
              <w:rPr>
                <w:rFonts w:ascii="楷体" w:eastAsia="楷体" w:hAnsi="楷体" w:cs="Arial"/>
                <w:iCs/>
                <w:color w:val="C00000"/>
                <w:sz w:val="15"/>
              </w:rPr>
            </w:pPr>
            <w:r w:rsidRPr="00D85A79">
              <w:rPr>
                <w:rFonts w:ascii="楷体" w:eastAsia="楷体" w:hAnsi="楷体" w:cs="Arial" w:hint="eastAsia"/>
                <w:iCs/>
                <w:color w:val="C00000"/>
                <w:sz w:val="15"/>
              </w:rPr>
              <w:t>来源：WIND，中泰证券研究所</w:t>
            </w:r>
          </w:p>
        </w:tc>
      </w:tr>
    </w:tbl>
    <w:p w14:paraId="537AFA4B" w14:textId="77777777" w:rsidR="00BF6591" w:rsidRPr="009D4252" w:rsidRDefault="00BF6591" w:rsidP="00BF6591">
      <w:pPr>
        <w:ind w:left="3681"/>
        <w:rPr>
          <w:b/>
          <w:bCs/>
        </w:rPr>
      </w:pPr>
    </w:p>
    <w:p w14:paraId="03738AAB" w14:textId="64D43D0D" w:rsidR="00BF6591" w:rsidRPr="00886C82" w:rsidRDefault="00BF6591" w:rsidP="00597AC0">
      <w:pPr>
        <w:pStyle w:val="aff5"/>
        <w:numPr>
          <w:ilvl w:val="0"/>
          <w:numId w:val="7"/>
        </w:numPr>
        <w:ind w:firstLineChars="0"/>
        <w:rPr>
          <w:b/>
        </w:rPr>
      </w:pPr>
      <w:r w:rsidRPr="00886C82">
        <w:rPr>
          <w:rFonts w:hint="eastAsia"/>
          <w:b/>
        </w:rPr>
        <w:t>中长端利率下行，曲线小幅走平</w:t>
      </w:r>
    </w:p>
    <w:p w14:paraId="6368F681" w14:textId="7E61D76C" w:rsidR="00BF6591" w:rsidRPr="00886C82" w:rsidRDefault="00BF6591" w:rsidP="00BF6591">
      <w:pPr>
        <w:ind w:left="3681"/>
        <w:rPr>
          <w:b/>
          <w:bCs/>
        </w:rPr>
      </w:pPr>
      <w:r>
        <w:rPr>
          <w:rFonts w:hint="eastAsia"/>
          <w:b/>
          <w:bCs/>
        </w:rPr>
        <w:t>利率债供给冲击不明显，</w:t>
      </w:r>
      <w:r w:rsidRPr="00823D1E">
        <w:rPr>
          <w:rFonts w:hint="eastAsia"/>
          <w:b/>
          <w:bCs/>
        </w:rPr>
        <w:t>收益率</w:t>
      </w:r>
      <w:r>
        <w:rPr>
          <w:rFonts w:hint="eastAsia"/>
          <w:b/>
          <w:bCs/>
        </w:rPr>
        <w:t>曲线走平</w:t>
      </w:r>
      <w:r w:rsidRPr="00823D1E">
        <w:rPr>
          <w:rFonts w:hint="eastAsia"/>
          <w:b/>
          <w:bCs/>
        </w:rPr>
        <w:t>。</w:t>
      </w:r>
      <w:r w:rsidRPr="00821B2D">
        <w:rPr>
          <w:rFonts w:hint="eastAsia"/>
          <w:b/>
          <w:bCs/>
        </w:rPr>
        <w:t>周一</w:t>
      </w:r>
      <w:r>
        <w:rPr>
          <w:rFonts w:hint="eastAsia"/>
        </w:rPr>
        <w:t>，央行超预期开展</w:t>
      </w:r>
      <w:r>
        <w:t>6000</w:t>
      </w:r>
      <w:r>
        <w:rPr>
          <w:rFonts w:hint="eastAsia"/>
        </w:rPr>
        <w:t>亿元</w:t>
      </w:r>
      <w:r>
        <w:rPr>
          <w:rFonts w:hint="eastAsia"/>
        </w:rPr>
        <w:t>M</w:t>
      </w:r>
      <w:r>
        <w:t>LF</w:t>
      </w:r>
      <w:r>
        <w:rPr>
          <w:rFonts w:hint="eastAsia"/>
        </w:rPr>
        <w:t>操作，统计局公布的</w:t>
      </w:r>
      <w:r>
        <w:rPr>
          <w:rFonts w:hint="eastAsia"/>
        </w:rPr>
        <w:t>7</w:t>
      </w:r>
      <w:r>
        <w:rPr>
          <w:rFonts w:hint="eastAsia"/>
        </w:rPr>
        <w:t>月经济数据显示制造业、服务业、投资、消费等指标全线走弱，上午收益率小幅下行，但下午逐渐回升并最终高于上周五收盘水平。可能原因在于，市场对于</w:t>
      </w:r>
      <w:r>
        <w:rPr>
          <w:rFonts w:hint="eastAsia"/>
        </w:rPr>
        <w:t>7</w:t>
      </w:r>
      <w:r>
        <w:rPr>
          <w:rFonts w:hint="eastAsia"/>
        </w:rPr>
        <w:t>月宏观数据较差的预期较充分，反而开始</w:t>
      </w:r>
      <w:r>
        <w:t>担心供给冲击和</w:t>
      </w:r>
      <w:r>
        <w:rPr>
          <w:rFonts w:hint="eastAsia"/>
        </w:rPr>
        <w:t>财政发力带来的</w:t>
      </w:r>
      <w:r>
        <w:t>利空影响</w:t>
      </w:r>
      <w:r>
        <w:rPr>
          <w:rFonts w:hint="eastAsia"/>
        </w:rPr>
        <w:t>。</w:t>
      </w:r>
      <w:r w:rsidRPr="00821B2D">
        <w:rPr>
          <w:rFonts w:hint="eastAsia"/>
          <w:b/>
          <w:bCs/>
        </w:rPr>
        <w:t>周二</w:t>
      </w:r>
      <w:r>
        <w:rPr>
          <w:rFonts w:hint="eastAsia"/>
        </w:rPr>
        <w:t>，受</w:t>
      </w:r>
      <w:r>
        <w:t>避险情绪升温影响</w:t>
      </w:r>
      <w:r>
        <w:rPr>
          <w:rFonts w:hint="eastAsia"/>
        </w:rPr>
        <w:t>，</w:t>
      </w:r>
      <w:r w:rsidRPr="00AC6326">
        <w:rPr>
          <w:rFonts w:hint="eastAsia"/>
        </w:rPr>
        <w:t>210009</w:t>
      </w:r>
      <w:r>
        <w:rPr>
          <w:rFonts w:hint="eastAsia"/>
        </w:rPr>
        <w:t>小幅</w:t>
      </w:r>
      <w:r w:rsidRPr="00AC6326">
        <w:rPr>
          <w:rFonts w:hint="eastAsia"/>
        </w:rPr>
        <w:t>下行</w:t>
      </w:r>
      <w:r>
        <w:t>1.5</w:t>
      </w:r>
      <w:r w:rsidRPr="00AC6326">
        <w:rPr>
          <w:rFonts w:hint="eastAsia"/>
        </w:rPr>
        <w:t>bp</w:t>
      </w:r>
      <w:r w:rsidRPr="00AC6326">
        <w:rPr>
          <w:rFonts w:hint="eastAsia"/>
        </w:rPr>
        <w:t>。</w:t>
      </w:r>
      <w:r w:rsidRPr="00821B2D">
        <w:rPr>
          <w:rFonts w:hint="eastAsia"/>
          <w:b/>
          <w:bCs/>
        </w:rPr>
        <w:t>周三</w:t>
      </w:r>
      <w:r>
        <w:rPr>
          <w:rFonts w:hint="eastAsia"/>
          <w:bCs/>
        </w:rPr>
        <w:t>，</w:t>
      </w:r>
      <w:r>
        <w:rPr>
          <w:rFonts w:hint="eastAsia"/>
        </w:rPr>
        <w:t>黑色商品期货大幅下跌，流动性</w:t>
      </w:r>
      <w:r>
        <w:t>宽松驱动叠加一级招标情绪较好，</w:t>
      </w:r>
      <w:r w:rsidRPr="00AC6326">
        <w:rPr>
          <w:rFonts w:hint="eastAsia"/>
        </w:rPr>
        <w:t>210009</w:t>
      </w:r>
      <w:r>
        <w:rPr>
          <w:rFonts w:hint="eastAsia"/>
        </w:rPr>
        <w:t>大幅</w:t>
      </w:r>
      <w:r w:rsidRPr="00AC6326">
        <w:rPr>
          <w:rFonts w:hint="eastAsia"/>
        </w:rPr>
        <w:t>下行</w:t>
      </w:r>
      <w:r>
        <w:t>3.25</w:t>
      </w:r>
      <w:r w:rsidRPr="00AC6326">
        <w:rPr>
          <w:rFonts w:hint="eastAsia"/>
        </w:rPr>
        <w:t>bp</w:t>
      </w:r>
      <w:r>
        <w:rPr>
          <w:rFonts w:hint="eastAsia"/>
        </w:rPr>
        <w:t>。</w:t>
      </w:r>
      <w:r w:rsidRPr="00821B2D">
        <w:rPr>
          <w:rFonts w:hint="eastAsia"/>
          <w:b/>
          <w:bCs/>
        </w:rPr>
        <w:t>周四</w:t>
      </w:r>
      <w:r>
        <w:rPr>
          <w:rFonts w:hint="eastAsia"/>
        </w:rPr>
        <w:t>，消息</w:t>
      </w:r>
      <w:r>
        <w:t>面</w:t>
      </w:r>
      <w:r>
        <w:rPr>
          <w:rFonts w:hint="eastAsia"/>
        </w:rPr>
        <w:t>平静</w:t>
      </w:r>
      <w:r>
        <w:t>，</w:t>
      </w:r>
      <w:r w:rsidRPr="00821B2D">
        <w:rPr>
          <w:rFonts w:hint="eastAsia"/>
        </w:rPr>
        <w:t>资金面边际趋紧</w:t>
      </w:r>
      <w:r>
        <w:rPr>
          <w:rFonts w:hint="eastAsia"/>
        </w:rPr>
        <w:t>，</w:t>
      </w:r>
      <w:r>
        <w:t>不过</w:t>
      </w:r>
      <w:r>
        <w:rPr>
          <w:rFonts w:hint="eastAsia"/>
        </w:rPr>
        <w:t>多头情绪延续，</w:t>
      </w:r>
      <w:r>
        <w:rPr>
          <w:rFonts w:hint="eastAsia"/>
        </w:rPr>
        <w:t>2</w:t>
      </w:r>
      <w:r w:rsidRPr="00AC6326">
        <w:rPr>
          <w:rFonts w:hint="eastAsia"/>
        </w:rPr>
        <w:t>10009</w:t>
      </w:r>
      <w:r>
        <w:rPr>
          <w:rFonts w:hint="eastAsia"/>
        </w:rPr>
        <w:t>当日</w:t>
      </w:r>
      <w:r w:rsidRPr="00AC6326">
        <w:rPr>
          <w:rFonts w:hint="eastAsia"/>
        </w:rPr>
        <w:t>下行</w:t>
      </w:r>
      <w:r>
        <w:t>1.25</w:t>
      </w:r>
      <w:r w:rsidRPr="00AC6326">
        <w:rPr>
          <w:rFonts w:hint="eastAsia"/>
        </w:rPr>
        <w:t>bp</w:t>
      </w:r>
      <w:r>
        <w:rPr>
          <w:rFonts w:hint="eastAsia"/>
        </w:rPr>
        <w:t>。</w:t>
      </w:r>
      <w:r w:rsidRPr="00821B2D">
        <w:rPr>
          <w:rFonts w:hint="eastAsia"/>
          <w:b/>
          <w:bCs/>
        </w:rPr>
        <w:t>周五，</w:t>
      </w:r>
      <w:r>
        <w:rPr>
          <w:rFonts w:hint="eastAsia"/>
        </w:rPr>
        <w:t>L</w:t>
      </w:r>
      <w:r>
        <w:t>PR</w:t>
      </w:r>
      <w:r>
        <w:rPr>
          <w:rFonts w:hint="eastAsia"/>
        </w:rPr>
        <w:t>报价“按兵不动”，降息预期落空，收益率全线上升，其中</w:t>
      </w:r>
      <w:r>
        <w:rPr>
          <w:rFonts w:hint="eastAsia"/>
        </w:rPr>
        <w:t>1</w:t>
      </w:r>
      <w:r>
        <w:t>Y</w:t>
      </w:r>
      <w:r>
        <w:rPr>
          <w:rFonts w:hint="eastAsia"/>
        </w:rPr>
        <w:t>国债收益率上行幅度最大达</w:t>
      </w:r>
      <w:r>
        <w:rPr>
          <w:rFonts w:hint="eastAsia"/>
        </w:rPr>
        <w:t>3</w:t>
      </w:r>
      <w:r>
        <w:t>.02BP</w:t>
      </w:r>
      <w:r>
        <w:rPr>
          <w:rFonts w:hint="eastAsia"/>
        </w:rPr>
        <w:t>，</w:t>
      </w:r>
      <w:r w:rsidRPr="009156A6">
        <w:rPr>
          <w:rFonts w:hint="eastAsia"/>
        </w:rPr>
        <w:t>210009</w:t>
      </w:r>
      <w:r w:rsidRPr="009156A6">
        <w:rPr>
          <w:rFonts w:hint="eastAsia"/>
        </w:rPr>
        <w:t>上行</w:t>
      </w:r>
      <w:r>
        <w:t>1.2</w:t>
      </w:r>
      <w:r w:rsidRPr="009156A6">
        <w:rPr>
          <w:rFonts w:hint="eastAsia"/>
        </w:rPr>
        <w:t>5bp</w:t>
      </w:r>
      <w:r>
        <w:rPr>
          <w:rFonts w:hint="eastAsia"/>
        </w:rPr>
        <w:t>。从全周看，</w:t>
      </w:r>
      <w:r>
        <w:rPr>
          <w:rFonts w:hint="eastAsia"/>
        </w:rPr>
        <w:t>1</w:t>
      </w:r>
      <w:r>
        <w:t>Y</w:t>
      </w:r>
      <w:r>
        <w:rPr>
          <w:rFonts w:hint="eastAsia"/>
        </w:rPr>
        <w:t>国债收益率上行</w:t>
      </w:r>
      <w:r>
        <w:rPr>
          <w:rFonts w:hint="eastAsia"/>
        </w:rPr>
        <w:t>4</w:t>
      </w:r>
      <w:r>
        <w:t>.73BP</w:t>
      </w:r>
      <w:r>
        <w:rPr>
          <w:rFonts w:hint="eastAsia"/>
        </w:rPr>
        <w:t>，</w:t>
      </w:r>
      <w:r>
        <w:t>3Y</w:t>
      </w:r>
      <w:r>
        <w:rPr>
          <w:rFonts w:hint="eastAsia"/>
        </w:rPr>
        <w:t>、</w:t>
      </w:r>
      <w:r>
        <w:rPr>
          <w:rFonts w:hint="eastAsia"/>
        </w:rPr>
        <w:t>5</w:t>
      </w:r>
      <w:r>
        <w:t>Y</w:t>
      </w:r>
      <w:r>
        <w:rPr>
          <w:rFonts w:hint="eastAsia"/>
        </w:rPr>
        <w:t>、</w:t>
      </w:r>
      <w:r>
        <w:rPr>
          <w:rFonts w:hint="eastAsia"/>
        </w:rPr>
        <w:t>7</w:t>
      </w:r>
      <w:r>
        <w:t>Y</w:t>
      </w:r>
      <w:r>
        <w:rPr>
          <w:rFonts w:hint="eastAsia"/>
        </w:rPr>
        <w:t>、</w:t>
      </w:r>
      <w:r>
        <w:rPr>
          <w:rFonts w:hint="eastAsia"/>
        </w:rPr>
        <w:t>1</w:t>
      </w:r>
      <w:r>
        <w:t>0Y</w:t>
      </w:r>
      <w:r>
        <w:rPr>
          <w:rFonts w:hint="eastAsia"/>
        </w:rPr>
        <w:t>国债收益率分别下行</w:t>
      </w:r>
      <w:r>
        <w:t>1.97BP</w:t>
      </w:r>
      <w:r>
        <w:rPr>
          <w:rFonts w:hint="eastAsia"/>
        </w:rPr>
        <w:t>、</w:t>
      </w:r>
      <w:r>
        <w:t>0.86BP</w:t>
      </w:r>
      <w:r>
        <w:rPr>
          <w:rFonts w:hint="eastAsia"/>
        </w:rPr>
        <w:t>、</w:t>
      </w:r>
      <w:r>
        <w:t>2.76</w:t>
      </w:r>
      <w:r>
        <w:rPr>
          <w:rFonts w:hint="eastAsia"/>
        </w:rPr>
        <w:t>BP</w:t>
      </w:r>
      <w:r>
        <w:rPr>
          <w:rFonts w:hint="eastAsia"/>
        </w:rPr>
        <w:t>、</w:t>
      </w:r>
      <w:r>
        <w:t>2.72</w:t>
      </w:r>
      <w:r>
        <w:rPr>
          <w:rFonts w:hint="eastAsia"/>
        </w:rPr>
        <w:t>BP</w:t>
      </w:r>
      <w:r w:rsidRPr="00D85A79">
        <w:rPr>
          <w:rFonts w:hint="eastAsia"/>
        </w:rPr>
        <w:t>。国开债</w:t>
      </w:r>
      <w:r>
        <w:rPr>
          <w:rFonts w:hint="eastAsia"/>
        </w:rPr>
        <w:t>除</w:t>
      </w:r>
      <w:r>
        <w:rPr>
          <w:rFonts w:hint="eastAsia"/>
        </w:rPr>
        <w:lastRenderedPageBreak/>
        <w:t>1</w:t>
      </w:r>
      <w:r>
        <w:t>Y</w:t>
      </w:r>
      <w:r>
        <w:rPr>
          <w:rFonts w:hint="eastAsia"/>
        </w:rPr>
        <w:t>期限上涨近</w:t>
      </w:r>
      <w:r>
        <w:rPr>
          <w:rFonts w:hint="eastAsia"/>
        </w:rPr>
        <w:t>6</w:t>
      </w:r>
      <w:r>
        <w:t>BP</w:t>
      </w:r>
      <w:r>
        <w:rPr>
          <w:rFonts w:hint="eastAsia"/>
        </w:rPr>
        <w:t>外，其余期限大多小幅下行。</w:t>
      </w:r>
    </w:p>
    <w:p w14:paraId="4CC5AEDF" w14:textId="77777777" w:rsidR="00BF6591" w:rsidRDefault="00BF6591" w:rsidP="00BF6591">
      <w:pPr>
        <w:ind w:left="3681"/>
      </w:pPr>
    </w:p>
    <w:p w14:paraId="56D26C17" w14:textId="77777777" w:rsidR="00BF6591" w:rsidRDefault="00BF6591" w:rsidP="00BF6591">
      <w:pPr>
        <w:ind w:left="3681"/>
      </w:pPr>
      <w:r>
        <w:rPr>
          <w:rFonts w:hint="eastAsia"/>
        </w:rPr>
        <w:t>本周</w:t>
      </w:r>
      <w:r w:rsidRPr="00D85A79">
        <w:rPr>
          <w:rFonts w:hint="eastAsia"/>
        </w:rPr>
        <w:t>1</w:t>
      </w:r>
      <w:r w:rsidRPr="00D85A79">
        <w:t>0Y-1Y</w:t>
      </w:r>
      <w:r w:rsidRPr="00D85A79">
        <w:rPr>
          <w:rFonts w:hint="eastAsia"/>
        </w:rPr>
        <w:t>期限利差</w:t>
      </w:r>
      <w:r>
        <w:rPr>
          <w:rFonts w:hint="eastAsia"/>
        </w:rPr>
        <w:t>明显压缩，曲线变平。国债</w:t>
      </w:r>
      <w:r w:rsidRPr="00D85A79">
        <w:rPr>
          <w:rFonts w:hint="eastAsia"/>
        </w:rPr>
        <w:t>1</w:t>
      </w:r>
      <w:r w:rsidRPr="00D85A79">
        <w:t>0Y-1Y</w:t>
      </w:r>
      <w:r w:rsidRPr="00D85A79">
        <w:rPr>
          <w:rFonts w:hint="eastAsia"/>
        </w:rPr>
        <w:t>期限利差</w:t>
      </w:r>
      <w:r>
        <w:rPr>
          <w:rFonts w:hint="eastAsia"/>
        </w:rPr>
        <w:t>收窄</w:t>
      </w:r>
      <w:r>
        <w:rPr>
          <w:rFonts w:hint="eastAsia"/>
        </w:rPr>
        <w:t>7</w:t>
      </w:r>
      <w:r>
        <w:t>.5BP</w:t>
      </w:r>
      <w:r>
        <w:rPr>
          <w:rFonts w:hint="eastAsia"/>
        </w:rPr>
        <w:t>至</w:t>
      </w:r>
      <w:r>
        <w:rPr>
          <w:rFonts w:hint="eastAsia"/>
        </w:rPr>
        <w:t>5</w:t>
      </w:r>
      <w:r>
        <w:t>8.4BP</w:t>
      </w:r>
      <w:r>
        <w:rPr>
          <w:rFonts w:hint="eastAsia"/>
        </w:rPr>
        <w:t>，国开债</w:t>
      </w:r>
      <w:r w:rsidRPr="00D85A79">
        <w:rPr>
          <w:rFonts w:hint="eastAsia"/>
        </w:rPr>
        <w:t>1</w:t>
      </w:r>
      <w:r w:rsidRPr="00D85A79">
        <w:t>0Y-1Y</w:t>
      </w:r>
      <w:r w:rsidRPr="00D85A79">
        <w:rPr>
          <w:rFonts w:hint="eastAsia"/>
        </w:rPr>
        <w:t>期限利差</w:t>
      </w:r>
      <w:r>
        <w:rPr>
          <w:rFonts w:hint="eastAsia"/>
        </w:rPr>
        <w:t>收窄</w:t>
      </w:r>
      <w:r>
        <w:t>9.9BP</w:t>
      </w:r>
      <w:r>
        <w:rPr>
          <w:rFonts w:hint="eastAsia"/>
        </w:rPr>
        <w:t>至</w:t>
      </w:r>
      <w:r>
        <w:t>84.8BP</w:t>
      </w:r>
      <w:r>
        <w:rPr>
          <w:rFonts w:hint="eastAsia"/>
        </w:rPr>
        <w:t>。</w:t>
      </w:r>
      <w:r w:rsidRPr="00E12BF3">
        <w:rPr>
          <w:rFonts w:hint="eastAsia"/>
        </w:rPr>
        <w:t>10Y</w:t>
      </w:r>
      <w:r w:rsidRPr="00E12BF3">
        <w:rPr>
          <w:rFonts w:hint="eastAsia"/>
        </w:rPr>
        <w:t>国开债隐含税率</w:t>
      </w:r>
      <w:r>
        <w:rPr>
          <w:rFonts w:hint="eastAsia"/>
        </w:rPr>
        <w:t>较</w:t>
      </w:r>
      <w:r w:rsidRPr="00E12BF3">
        <w:rPr>
          <w:rFonts w:hint="eastAsia"/>
        </w:rPr>
        <w:t>上周</w:t>
      </w:r>
      <w:r>
        <w:rPr>
          <w:rFonts w:hint="eastAsia"/>
        </w:rPr>
        <w:t>回落</w:t>
      </w:r>
      <w:r w:rsidRPr="00E12BF3">
        <w:rPr>
          <w:rFonts w:hint="eastAsia"/>
        </w:rPr>
        <w:t>，处于</w:t>
      </w:r>
      <w:r>
        <w:t>9.0</w:t>
      </w:r>
      <w:r w:rsidRPr="00E12BF3">
        <w:rPr>
          <w:rFonts w:hint="eastAsia"/>
        </w:rPr>
        <w:t>%</w:t>
      </w:r>
      <w:r w:rsidRPr="00E12BF3">
        <w:rPr>
          <w:rFonts w:hint="eastAsia"/>
        </w:rPr>
        <w:t>历史分位数的低位</w:t>
      </w:r>
      <w:r>
        <w:rPr>
          <w:rFonts w:hint="eastAsia"/>
        </w:rPr>
        <w:t>。</w:t>
      </w:r>
    </w:p>
    <w:p w14:paraId="683839E9" w14:textId="77777777" w:rsidR="00BF6591" w:rsidRDefault="00BF6591" w:rsidP="00BF6591">
      <w:pPr>
        <w:ind w:left="3681"/>
      </w:pPr>
    </w:p>
    <w:tbl>
      <w:tblPr>
        <w:tblStyle w:val="af"/>
        <w:tblW w:w="10278" w:type="dxa"/>
        <w:tblInd w:w="-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222"/>
        <w:gridCol w:w="5028"/>
      </w:tblGrid>
      <w:tr w:rsidR="00BF6591" w:rsidRPr="00D85A79" w14:paraId="0459C5B8" w14:textId="77777777" w:rsidTr="0089070E">
        <w:trPr>
          <w:trHeight w:val="113"/>
        </w:trPr>
        <w:tc>
          <w:tcPr>
            <w:tcW w:w="5028" w:type="dxa"/>
            <w:tcBorders>
              <w:top w:val="single" w:sz="12" w:space="0" w:color="C00000"/>
              <w:bottom w:val="single" w:sz="2" w:space="0" w:color="C00000"/>
            </w:tcBorders>
            <w:shd w:val="clear" w:color="auto" w:fill="auto"/>
          </w:tcPr>
          <w:p w14:paraId="5012950E" w14:textId="77777777" w:rsidR="00BF6591" w:rsidRPr="00D85A79" w:rsidRDefault="00BF6591" w:rsidP="0089070E">
            <w:pPr>
              <w:rPr>
                <w:rFonts w:cs="Arial"/>
                <w:b/>
                <w:i/>
                <w:color w:val="C00000"/>
              </w:rPr>
            </w:pPr>
            <w:bookmarkStart w:id="14" w:name="_Toc80478237"/>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SEQ </w:instrText>
            </w:r>
            <w:r w:rsidRPr="00D85A79">
              <w:rPr>
                <w:rFonts w:cs="Arial"/>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3</w:t>
            </w:r>
            <w:r w:rsidRPr="00D85A79">
              <w:rPr>
                <w:rFonts w:cs="Arial"/>
                <w:b/>
                <w:i/>
                <w:color w:val="C00000"/>
              </w:rPr>
              <w:fldChar w:fldCharType="end"/>
            </w:r>
            <w:r w:rsidRPr="00D85A79">
              <w:rPr>
                <w:rFonts w:cs="Arial" w:hint="eastAsia"/>
                <w:b/>
                <w:i/>
                <w:color w:val="C00000"/>
              </w:rPr>
              <w:t>：国债各期限</w:t>
            </w:r>
            <w:r w:rsidRPr="00D85A79">
              <w:rPr>
                <w:rFonts w:cs="Arial"/>
                <w:b/>
                <w:i/>
                <w:color w:val="C00000"/>
              </w:rPr>
              <w:t>收益率变动（</w:t>
            </w:r>
            <w:r w:rsidRPr="00D85A79">
              <w:rPr>
                <w:rFonts w:cs="Arial" w:hint="eastAsia"/>
                <w:b/>
                <w:i/>
                <w:color w:val="C00000"/>
              </w:rPr>
              <w:t>BP</w:t>
            </w:r>
            <w:r w:rsidRPr="00D85A79">
              <w:rPr>
                <w:rFonts w:cs="Arial"/>
                <w:b/>
                <w:i/>
                <w:color w:val="C00000"/>
              </w:rPr>
              <w:t>）</w:t>
            </w:r>
            <w:bookmarkEnd w:id="14"/>
          </w:p>
        </w:tc>
        <w:tc>
          <w:tcPr>
            <w:tcW w:w="222" w:type="dxa"/>
            <w:shd w:val="clear" w:color="auto" w:fill="auto"/>
          </w:tcPr>
          <w:p w14:paraId="73ED2C20" w14:textId="77777777" w:rsidR="00BF6591" w:rsidRPr="00D85A79" w:rsidRDefault="00BF6591" w:rsidP="0089070E">
            <w:pPr>
              <w:jc w:val="left"/>
              <w:rPr>
                <w:rFonts w:ascii="楷体" w:eastAsia="楷体" w:hAnsi="楷体"/>
                <w:color w:val="FF0000"/>
              </w:rPr>
            </w:pPr>
          </w:p>
        </w:tc>
        <w:tc>
          <w:tcPr>
            <w:tcW w:w="5028" w:type="dxa"/>
            <w:tcBorders>
              <w:top w:val="single" w:sz="12" w:space="0" w:color="C00000"/>
              <w:bottom w:val="single" w:sz="2" w:space="0" w:color="C00000"/>
            </w:tcBorders>
            <w:shd w:val="clear" w:color="auto" w:fill="auto"/>
          </w:tcPr>
          <w:p w14:paraId="6CC2B2FF" w14:textId="77777777" w:rsidR="00BF6591" w:rsidRPr="00D85A79" w:rsidRDefault="00BF6591" w:rsidP="0089070E">
            <w:pPr>
              <w:jc w:val="left"/>
              <w:rPr>
                <w:rFonts w:cs="Arial"/>
                <w:b/>
                <w:i/>
                <w:color w:val="C00000"/>
              </w:rPr>
            </w:pPr>
            <w:bookmarkStart w:id="15" w:name="_Toc80478238"/>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SEQ </w:instrText>
            </w:r>
            <w:r w:rsidRPr="00D85A79">
              <w:rPr>
                <w:rFonts w:cs="Arial"/>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4</w:t>
            </w:r>
            <w:r w:rsidRPr="00D85A79">
              <w:rPr>
                <w:rFonts w:cs="Arial"/>
                <w:b/>
                <w:i/>
                <w:color w:val="C00000"/>
              </w:rPr>
              <w:fldChar w:fldCharType="end"/>
            </w:r>
            <w:r w:rsidRPr="00D85A79">
              <w:rPr>
                <w:rFonts w:cs="Arial" w:hint="eastAsia"/>
                <w:b/>
                <w:i/>
                <w:color w:val="C00000"/>
              </w:rPr>
              <w:t>：国开债</w:t>
            </w:r>
            <w:r w:rsidRPr="00D85A79">
              <w:rPr>
                <w:rFonts w:cs="Arial"/>
                <w:b/>
                <w:i/>
                <w:color w:val="C00000"/>
              </w:rPr>
              <w:t>各期限收益率变动</w:t>
            </w:r>
            <w:r w:rsidRPr="00D85A79">
              <w:rPr>
                <w:rFonts w:cs="Arial" w:hint="eastAsia"/>
                <w:b/>
                <w:i/>
                <w:color w:val="C00000"/>
              </w:rPr>
              <w:t>（</w:t>
            </w:r>
            <w:r w:rsidRPr="00D85A79">
              <w:rPr>
                <w:rFonts w:cs="Arial" w:hint="eastAsia"/>
                <w:b/>
                <w:i/>
                <w:color w:val="C00000"/>
              </w:rPr>
              <w:t>BP</w:t>
            </w:r>
            <w:r w:rsidRPr="00D85A79">
              <w:rPr>
                <w:rFonts w:cs="Arial" w:hint="eastAsia"/>
                <w:b/>
                <w:i/>
                <w:color w:val="C00000"/>
              </w:rPr>
              <w:t>）</w:t>
            </w:r>
            <w:bookmarkEnd w:id="15"/>
          </w:p>
        </w:tc>
      </w:tr>
      <w:tr w:rsidR="00BF6591" w:rsidRPr="00D85A79" w14:paraId="29673ADB" w14:textId="77777777" w:rsidTr="0089070E">
        <w:trPr>
          <w:trHeight w:val="2999"/>
        </w:trPr>
        <w:tc>
          <w:tcPr>
            <w:tcW w:w="5028" w:type="dxa"/>
            <w:tcBorders>
              <w:top w:val="single" w:sz="2" w:space="0" w:color="C00000"/>
              <w:bottom w:val="single" w:sz="2" w:space="0" w:color="C00000"/>
            </w:tcBorders>
            <w:shd w:val="clear" w:color="auto" w:fill="auto"/>
          </w:tcPr>
          <w:p w14:paraId="0302D8AC" w14:textId="77777777" w:rsidR="00BF6591" w:rsidRPr="00D85A79" w:rsidRDefault="00BF6591" w:rsidP="0089070E">
            <w:r w:rsidRPr="00F61EE8">
              <w:rPr>
                <w:noProof/>
              </w:rPr>
              <w:drawing>
                <wp:inline distT="0" distB="0" distL="0" distR="0" wp14:anchorId="711CB2B9" wp14:editId="7501467C">
                  <wp:extent cx="3054350" cy="2152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c>
          <w:tcPr>
            <w:tcW w:w="222" w:type="dxa"/>
            <w:shd w:val="clear" w:color="auto" w:fill="auto"/>
          </w:tcPr>
          <w:p w14:paraId="1F3EF423" w14:textId="77777777" w:rsidR="00BF6591" w:rsidRPr="00D85A79" w:rsidRDefault="00BF6591" w:rsidP="0089070E">
            <w:pPr>
              <w:jc w:val="left"/>
            </w:pPr>
          </w:p>
        </w:tc>
        <w:tc>
          <w:tcPr>
            <w:tcW w:w="5028" w:type="dxa"/>
            <w:tcBorders>
              <w:top w:val="single" w:sz="2" w:space="0" w:color="C00000"/>
              <w:bottom w:val="single" w:sz="2" w:space="0" w:color="C00000"/>
            </w:tcBorders>
            <w:shd w:val="clear" w:color="auto" w:fill="auto"/>
          </w:tcPr>
          <w:p w14:paraId="4D28984A" w14:textId="77777777" w:rsidR="00BF6591" w:rsidRPr="00D85A79" w:rsidRDefault="00BF6591" w:rsidP="0089070E">
            <w:pPr>
              <w:jc w:val="left"/>
            </w:pPr>
            <w:r w:rsidRPr="00F61EE8">
              <w:rPr>
                <w:noProof/>
              </w:rPr>
              <w:drawing>
                <wp:inline distT="0" distB="0" distL="0" distR="0" wp14:anchorId="4CF9F6D0" wp14:editId="2C7E5577">
                  <wp:extent cx="3054350" cy="215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r>
      <w:tr w:rsidR="00BF6591" w:rsidRPr="00D85A79" w14:paraId="7E9D73E6" w14:textId="77777777" w:rsidTr="0089070E">
        <w:trPr>
          <w:trHeight w:val="113"/>
        </w:trPr>
        <w:tc>
          <w:tcPr>
            <w:tcW w:w="5028" w:type="dxa"/>
            <w:tcBorders>
              <w:top w:val="single" w:sz="2" w:space="0" w:color="C00000"/>
            </w:tcBorders>
            <w:shd w:val="clear" w:color="auto" w:fill="auto"/>
          </w:tcPr>
          <w:p w14:paraId="7849B394" w14:textId="77777777" w:rsidR="00BF6591" w:rsidRPr="00D85A79" w:rsidRDefault="00BF6591" w:rsidP="0089070E">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c>
          <w:tcPr>
            <w:tcW w:w="222" w:type="dxa"/>
            <w:shd w:val="clear" w:color="auto" w:fill="auto"/>
          </w:tcPr>
          <w:p w14:paraId="3E7B34AB" w14:textId="77777777" w:rsidR="00BF6591" w:rsidRPr="00D85A79" w:rsidRDefault="00BF6591" w:rsidP="0089070E">
            <w:pPr>
              <w:jc w:val="left"/>
              <w:rPr>
                <w:rFonts w:ascii="楷体" w:eastAsia="楷体" w:hAnsi="楷体"/>
                <w:color w:val="C00000"/>
                <w:sz w:val="15"/>
              </w:rPr>
            </w:pPr>
          </w:p>
        </w:tc>
        <w:tc>
          <w:tcPr>
            <w:tcW w:w="5028" w:type="dxa"/>
            <w:tcBorders>
              <w:top w:val="single" w:sz="2" w:space="0" w:color="C00000"/>
            </w:tcBorders>
            <w:shd w:val="clear" w:color="auto" w:fill="auto"/>
          </w:tcPr>
          <w:p w14:paraId="17A0605C" w14:textId="77777777" w:rsidR="00BF6591" w:rsidRPr="00D85A79" w:rsidRDefault="00BF6591" w:rsidP="0089070E">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r>
    </w:tbl>
    <w:p w14:paraId="79742D85" w14:textId="77777777" w:rsidR="00BF6591" w:rsidRDefault="00BF6591" w:rsidP="00BF6591"/>
    <w:tbl>
      <w:tblPr>
        <w:tblStyle w:val="af"/>
        <w:tblW w:w="10294" w:type="dxa"/>
        <w:tblInd w:w="-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6"/>
        <w:gridCol w:w="222"/>
        <w:gridCol w:w="5046"/>
      </w:tblGrid>
      <w:tr w:rsidR="00BF6591" w:rsidRPr="00D85A79" w14:paraId="73CFB42C" w14:textId="77777777" w:rsidTr="0089070E">
        <w:trPr>
          <w:trHeight w:val="113"/>
        </w:trPr>
        <w:tc>
          <w:tcPr>
            <w:tcW w:w="5026" w:type="dxa"/>
            <w:tcBorders>
              <w:top w:val="single" w:sz="12" w:space="0" w:color="C00000"/>
              <w:bottom w:val="single" w:sz="2" w:space="0" w:color="C00000"/>
            </w:tcBorders>
            <w:shd w:val="clear" w:color="auto" w:fill="auto"/>
          </w:tcPr>
          <w:p w14:paraId="790347F7" w14:textId="77777777" w:rsidR="00BF6591" w:rsidRPr="00D85A79" w:rsidRDefault="00BF6591" w:rsidP="0089070E">
            <w:pPr>
              <w:rPr>
                <w:rFonts w:cs="Arial"/>
                <w:b/>
                <w:i/>
                <w:color w:val="C00000"/>
              </w:rPr>
            </w:pPr>
            <w:bookmarkStart w:id="16" w:name="_Toc80478239"/>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w:instrText>
            </w:r>
            <w:r w:rsidRPr="00D85A79">
              <w:rPr>
                <w:rFonts w:cs="Arial" w:hint="eastAsia"/>
                <w:b/>
                <w:i/>
                <w:color w:val="C00000"/>
              </w:rPr>
              <w:instrText xml:space="preserve">SEQ </w:instrText>
            </w:r>
            <w:r w:rsidRPr="00D85A79">
              <w:rPr>
                <w:rFonts w:cs="Arial" w:hint="eastAsia"/>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5</w:t>
            </w:r>
            <w:r w:rsidRPr="00D85A79">
              <w:rPr>
                <w:rFonts w:cs="Arial"/>
                <w:b/>
                <w:i/>
                <w:color w:val="C00000"/>
              </w:rPr>
              <w:fldChar w:fldCharType="end"/>
            </w:r>
            <w:r w:rsidRPr="00D85A79">
              <w:rPr>
                <w:rFonts w:cs="Arial" w:hint="eastAsia"/>
                <w:b/>
                <w:i/>
                <w:color w:val="C00000"/>
              </w:rPr>
              <w:t>：</w:t>
            </w:r>
            <w:r>
              <w:rPr>
                <w:rFonts w:cs="Arial" w:hint="eastAsia"/>
                <w:b/>
                <w:i/>
                <w:color w:val="C00000"/>
              </w:rPr>
              <w:t>国债、国开债</w:t>
            </w:r>
            <w:r w:rsidRPr="00D85A79">
              <w:rPr>
                <w:rFonts w:cs="Arial" w:hint="eastAsia"/>
                <w:b/>
                <w:i/>
                <w:color w:val="C00000"/>
              </w:rPr>
              <w:t>期限利差</w:t>
            </w:r>
            <w:r>
              <w:rPr>
                <w:rFonts w:cs="Arial" w:hint="eastAsia"/>
                <w:b/>
                <w:i/>
                <w:color w:val="C00000"/>
              </w:rPr>
              <w:t>明显收窄</w:t>
            </w:r>
            <w:r w:rsidRPr="00D85A79">
              <w:rPr>
                <w:rFonts w:cs="Arial"/>
                <w:b/>
                <w:i/>
                <w:color w:val="C00000"/>
              </w:rPr>
              <w:t>（</w:t>
            </w:r>
            <w:r w:rsidRPr="00D85A79">
              <w:rPr>
                <w:rFonts w:cs="Arial" w:hint="eastAsia"/>
                <w:b/>
                <w:i/>
                <w:color w:val="C00000"/>
              </w:rPr>
              <w:t>BP</w:t>
            </w:r>
            <w:r w:rsidRPr="00D85A79">
              <w:rPr>
                <w:rFonts w:cs="Arial"/>
                <w:b/>
                <w:i/>
                <w:color w:val="C00000"/>
              </w:rPr>
              <w:t>）</w:t>
            </w:r>
            <w:bookmarkEnd w:id="16"/>
          </w:p>
        </w:tc>
        <w:tc>
          <w:tcPr>
            <w:tcW w:w="222" w:type="dxa"/>
            <w:shd w:val="clear" w:color="auto" w:fill="auto"/>
          </w:tcPr>
          <w:p w14:paraId="0DECCA4A" w14:textId="77777777" w:rsidR="00BF6591" w:rsidRPr="00D85A79" w:rsidRDefault="00BF6591" w:rsidP="0089070E">
            <w:pPr>
              <w:jc w:val="left"/>
              <w:rPr>
                <w:rFonts w:ascii="楷体" w:eastAsia="楷体" w:hAnsi="楷体"/>
                <w:color w:val="FF0000"/>
              </w:rPr>
            </w:pPr>
          </w:p>
        </w:tc>
        <w:tc>
          <w:tcPr>
            <w:tcW w:w="5046" w:type="dxa"/>
            <w:tcBorders>
              <w:top w:val="single" w:sz="12" w:space="0" w:color="C00000"/>
              <w:bottom w:val="single" w:sz="2" w:space="0" w:color="C00000"/>
            </w:tcBorders>
            <w:shd w:val="clear" w:color="auto" w:fill="auto"/>
          </w:tcPr>
          <w:p w14:paraId="50194097" w14:textId="77777777" w:rsidR="00BF6591" w:rsidRPr="00D85A79" w:rsidRDefault="00BF6591" w:rsidP="0089070E">
            <w:pPr>
              <w:jc w:val="left"/>
              <w:rPr>
                <w:rFonts w:cs="Arial"/>
                <w:b/>
                <w:i/>
                <w:color w:val="C00000"/>
              </w:rPr>
            </w:pPr>
            <w:bookmarkStart w:id="17" w:name="_Toc80478240"/>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w:instrText>
            </w:r>
            <w:r w:rsidRPr="00D85A79">
              <w:rPr>
                <w:rFonts w:cs="Arial" w:hint="eastAsia"/>
                <w:b/>
                <w:i/>
                <w:color w:val="C00000"/>
              </w:rPr>
              <w:instrText xml:space="preserve">SEQ </w:instrText>
            </w:r>
            <w:r w:rsidRPr="00D85A79">
              <w:rPr>
                <w:rFonts w:cs="Arial" w:hint="eastAsia"/>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6</w:t>
            </w:r>
            <w:r w:rsidRPr="00D85A79">
              <w:rPr>
                <w:rFonts w:cs="Arial"/>
                <w:b/>
                <w:i/>
                <w:color w:val="C00000"/>
              </w:rPr>
              <w:fldChar w:fldCharType="end"/>
            </w:r>
            <w:r w:rsidRPr="00D85A79">
              <w:rPr>
                <w:rFonts w:cs="Arial" w:hint="eastAsia"/>
                <w:b/>
                <w:i/>
                <w:color w:val="C00000"/>
              </w:rPr>
              <w:t>：</w:t>
            </w:r>
            <w:r w:rsidRPr="00D85A79">
              <w:rPr>
                <w:rFonts w:cs="Arial" w:hint="eastAsia"/>
                <w:b/>
                <w:i/>
                <w:color w:val="C00000"/>
              </w:rPr>
              <w:t>10Y</w:t>
            </w:r>
            <w:r w:rsidRPr="00D85A79">
              <w:rPr>
                <w:rFonts w:cs="Arial" w:hint="eastAsia"/>
                <w:b/>
                <w:i/>
                <w:color w:val="C00000"/>
              </w:rPr>
              <w:t>国开</w:t>
            </w:r>
            <w:r w:rsidRPr="00D85A79">
              <w:rPr>
                <w:rFonts w:cs="Arial"/>
                <w:b/>
                <w:i/>
                <w:color w:val="C00000"/>
              </w:rPr>
              <w:t>债</w:t>
            </w:r>
            <w:r w:rsidRPr="00D85A79">
              <w:rPr>
                <w:rFonts w:cs="Arial" w:hint="eastAsia"/>
                <w:b/>
                <w:i/>
                <w:color w:val="C00000"/>
              </w:rPr>
              <w:t>隐含税率</w:t>
            </w:r>
            <w:r>
              <w:rPr>
                <w:rFonts w:cs="Arial" w:hint="eastAsia"/>
                <w:b/>
                <w:i/>
                <w:color w:val="C00000"/>
              </w:rPr>
              <w:t>下行</w:t>
            </w:r>
            <w:r w:rsidRPr="00D85A79">
              <w:rPr>
                <w:rFonts w:cs="Arial"/>
                <w:b/>
                <w:i/>
                <w:color w:val="C00000"/>
              </w:rPr>
              <w:t>（</w:t>
            </w:r>
            <w:r w:rsidRPr="00D85A79">
              <w:rPr>
                <w:rFonts w:cs="Arial" w:hint="eastAsia"/>
                <w:b/>
                <w:i/>
                <w:color w:val="C00000"/>
              </w:rPr>
              <w:t>%</w:t>
            </w:r>
            <w:r w:rsidRPr="00D85A79">
              <w:rPr>
                <w:rFonts w:cs="Arial"/>
                <w:b/>
                <w:i/>
                <w:color w:val="C00000"/>
              </w:rPr>
              <w:t>）</w:t>
            </w:r>
            <w:bookmarkEnd w:id="17"/>
          </w:p>
        </w:tc>
      </w:tr>
      <w:tr w:rsidR="00BF6591" w:rsidRPr="00D85A79" w14:paraId="4DE6A7E2" w14:textId="77777777" w:rsidTr="0089070E">
        <w:trPr>
          <w:trHeight w:val="2999"/>
        </w:trPr>
        <w:tc>
          <w:tcPr>
            <w:tcW w:w="5026" w:type="dxa"/>
            <w:tcBorders>
              <w:top w:val="single" w:sz="2" w:space="0" w:color="C00000"/>
              <w:bottom w:val="single" w:sz="2" w:space="0" w:color="C00000"/>
            </w:tcBorders>
            <w:shd w:val="clear" w:color="auto" w:fill="auto"/>
          </w:tcPr>
          <w:p w14:paraId="023FFB97" w14:textId="77777777" w:rsidR="00BF6591" w:rsidRPr="00D85A79" w:rsidRDefault="00BF6591" w:rsidP="0089070E">
            <w:r w:rsidRPr="00EC154A">
              <w:rPr>
                <w:noProof/>
              </w:rPr>
              <w:drawing>
                <wp:inline distT="0" distB="0" distL="0" distR="0" wp14:anchorId="05A19026" wp14:editId="2223B415">
                  <wp:extent cx="3054350" cy="2152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c>
          <w:tcPr>
            <w:tcW w:w="222" w:type="dxa"/>
            <w:shd w:val="clear" w:color="auto" w:fill="auto"/>
          </w:tcPr>
          <w:p w14:paraId="6BA39037" w14:textId="77777777" w:rsidR="00BF6591" w:rsidRPr="00D85A79" w:rsidRDefault="00BF6591" w:rsidP="0089070E">
            <w:pPr>
              <w:jc w:val="left"/>
            </w:pPr>
          </w:p>
        </w:tc>
        <w:tc>
          <w:tcPr>
            <w:tcW w:w="5046" w:type="dxa"/>
            <w:tcBorders>
              <w:top w:val="single" w:sz="2" w:space="0" w:color="C00000"/>
              <w:bottom w:val="single" w:sz="2" w:space="0" w:color="C00000"/>
            </w:tcBorders>
            <w:shd w:val="clear" w:color="auto" w:fill="auto"/>
          </w:tcPr>
          <w:p w14:paraId="7CE08F4E" w14:textId="77777777" w:rsidR="00BF6591" w:rsidRPr="00D85A79" w:rsidRDefault="00BF6591" w:rsidP="0089070E">
            <w:pPr>
              <w:jc w:val="left"/>
            </w:pPr>
            <w:r w:rsidRPr="00EC154A">
              <w:rPr>
                <w:noProof/>
              </w:rPr>
              <w:drawing>
                <wp:inline distT="0" distB="0" distL="0" distR="0" wp14:anchorId="4EC05EE6" wp14:editId="45056C28">
                  <wp:extent cx="3054350" cy="2152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r>
      <w:tr w:rsidR="00BF6591" w:rsidRPr="00D85A79" w14:paraId="2F69740B" w14:textId="77777777" w:rsidTr="0089070E">
        <w:trPr>
          <w:trHeight w:val="113"/>
        </w:trPr>
        <w:tc>
          <w:tcPr>
            <w:tcW w:w="5026" w:type="dxa"/>
            <w:tcBorders>
              <w:top w:val="single" w:sz="2" w:space="0" w:color="C00000"/>
            </w:tcBorders>
            <w:shd w:val="clear" w:color="auto" w:fill="auto"/>
          </w:tcPr>
          <w:p w14:paraId="24C36F61" w14:textId="77777777" w:rsidR="00BF6591" w:rsidRPr="00D85A79" w:rsidRDefault="00BF6591" w:rsidP="0089070E">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c>
          <w:tcPr>
            <w:tcW w:w="222" w:type="dxa"/>
            <w:shd w:val="clear" w:color="auto" w:fill="auto"/>
          </w:tcPr>
          <w:p w14:paraId="7894B3C0" w14:textId="77777777" w:rsidR="00BF6591" w:rsidRPr="00D85A79" w:rsidRDefault="00BF6591" w:rsidP="0089070E">
            <w:pPr>
              <w:jc w:val="left"/>
              <w:rPr>
                <w:rFonts w:ascii="楷体" w:eastAsia="楷体" w:hAnsi="楷体"/>
                <w:color w:val="C00000"/>
                <w:sz w:val="15"/>
              </w:rPr>
            </w:pPr>
          </w:p>
        </w:tc>
        <w:tc>
          <w:tcPr>
            <w:tcW w:w="5046" w:type="dxa"/>
            <w:tcBorders>
              <w:top w:val="single" w:sz="2" w:space="0" w:color="C00000"/>
            </w:tcBorders>
            <w:shd w:val="clear" w:color="auto" w:fill="auto"/>
          </w:tcPr>
          <w:p w14:paraId="7BC0D2F1" w14:textId="77777777" w:rsidR="00BF6591" w:rsidRPr="00D85A79" w:rsidRDefault="00BF6591" w:rsidP="0089070E">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r>
    </w:tbl>
    <w:p w14:paraId="7F2E3599" w14:textId="249B9F70" w:rsidR="004905C9" w:rsidRPr="00D85A79" w:rsidRDefault="00BF6591" w:rsidP="00247D79">
      <w:pPr>
        <w:tabs>
          <w:tab w:val="right" w:pos="12424"/>
        </w:tabs>
        <w:spacing w:after="120" w:line="480" w:lineRule="exact"/>
        <w:ind w:leftChars="1050" w:left="2205"/>
        <w:jc w:val="left"/>
        <w:outlineLvl w:val="0"/>
        <w:rPr>
          <w:rFonts w:cs="Arial"/>
          <w:b/>
          <w:sz w:val="28"/>
          <w:szCs w:val="21"/>
        </w:rPr>
      </w:pPr>
      <w:bookmarkStart w:id="18" w:name="_Toc80478231"/>
      <w:r>
        <w:rPr>
          <w:rFonts w:cs="Arial" w:hint="eastAsia"/>
          <w:b/>
          <w:sz w:val="28"/>
          <w:szCs w:val="21"/>
        </w:rPr>
        <w:t>二</w:t>
      </w:r>
      <w:r w:rsidR="004905C9">
        <w:rPr>
          <w:rFonts w:cs="Arial" w:hint="eastAsia"/>
          <w:b/>
          <w:sz w:val="28"/>
          <w:szCs w:val="21"/>
        </w:rPr>
        <w:t>、</w:t>
      </w:r>
      <w:r w:rsidR="004905C9" w:rsidRPr="00402887">
        <w:rPr>
          <w:rFonts w:cs="Arial" w:hint="eastAsia"/>
          <w:b/>
          <w:sz w:val="28"/>
          <w:szCs w:val="21"/>
        </w:rPr>
        <w:t>高频跟踪：</w:t>
      </w:r>
      <w:bookmarkEnd w:id="8"/>
      <w:bookmarkEnd w:id="9"/>
      <w:r w:rsidR="004905C9">
        <w:rPr>
          <w:rFonts w:cs="Arial" w:hint="eastAsia"/>
          <w:b/>
          <w:sz w:val="28"/>
          <w:szCs w:val="21"/>
        </w:rPr>
        <w:t>商品房销售续降</w:t>
      </w:r>
      <w:r w:rsidR="008A6333">
        <w:rPr>
          <w:rFonts w:cs="Arial" w:hint="eastAsia"/>
          <w:b/>
          <w:sz w:val="28"/>
          <w:szCs w:val="21"/>
        </w:rPr>
        <w:t>，大宗商品</w:t>
      </w:r>
      <w:r w:rsidR="003A6447">
        <w:rPr>
          <w:rFonts w:cs="Arial" w:hint="eastAsia"/>
          <w:b/>
          <w:sz w:val="28"/>
          <w:szCs w:val="21"/>
        </w:rPr>
        <w:t>价格</w:t>
      </w:r>
      <w:r w:rsidR="008A6333">
        <w:rPr>
          <w:rFonts w:cs="Arial" w:hint="eastAsia"/>
          <w:b/>
          <w:sz w:val="28"/>
          <w:szCs w:val="21"/>
        </w:rPr>
        <w:t>普跌</w:t>
      </w:r>
      <w:bookmarkEnd w:id="18"/>
    </w:p>
    <w:p w14:paraId="2ACB34B5" w14:textId="3BD30A11" w:rsidR="004905C9" w:rsidRPr="009304B7" w:rsidRDefault="004905C9" w:rsidP="00597AC0">
      <w:pPr>
        <w:pStyle w:val="aff5"/>
        <w:numPr>
          <w:ilvl w:val="0"/>
          <w:numId w:val="5"/>
        </w:numPr>
        <w:ind w:firstLineChars="0"/>
        <w:rPr>
          <w:rFonts w:cs="Arial"/>
          <w:b/>
          <w:szCs w:val="21"/>
        </w:rPr>
      </w:pPr>
      <w:r w:rsidRPr="009304B7">
        <w:rPr>
          <w:rFonts w:cs="Arial" w:hint="eastAsia"/>
          <w:b/>
          <w:szCs w:val="21"/>
        </w:rPr>
        <w:t>生产</w:t>
      </w:r>
      <w:r w:rsidR="008A6333">
        <w:rPr>
          <w:rFonts w:cs="Arial" w:hint="eastAsia"/>
          <w:b/>
          <w:szCs w:val="21"/>
        </w:rPr>
        <w:t>：</w:t>
      </w:r>
      <w:r w:rsidR="003A6447">
        <w:rPr>
          <w:rFonts w:cs="Arial" w:hint="eastAsia"/>
          <w:b/>
          <w:szCs w:val="21"/>
        </w:rPr>
        <w:t>化工开工率分化，轮胎开工率下跌</w:t>
      </w:r>
    </w:p>
    <w:p w14:paraId="50B1BCA0" w14:textId="63D31045" w:rsidR="004905C9" w:rsidRPr="00C57074" w:rsidRDefault="004905C9" w:rsidP="00247D79">
      <w:pPr>
        <w:ind w:left="3681"/>
        <w:rPr>
          <w:rFonts w:cs="Arial"/>
          <w:color w:val="FF0000"/>
          <w:szCs w:val="21"/>
        </w:rPr>
      </w:pPr>
      <w:r w:rsidRPr="00530786">
        <w:rPr>
          <w:rFonts w:cs="Arial"/>
          <w:b/>
          <w:bCs/>
          <w:color w:val="000000" w:themeColor="text1"/>
          <w:szCs w:val="21"/>
        </w:rPr>
        <w:t>钢厂生产方面</w:t>
      </w:r>
      <w:r w:rsidRPr="00530786">
        <w:rPr>
          <w:rFonts w:cs="Arial"/>
          <w:color w:val="000000" w:themeColor="text1"/>
          <w:szCs w:val="21"/>
        </w:rPr>
        <w:t>，</w:t>
      </w:r>
      <w:r w:rsidR="005B5588">
        <w:rPr>
          <w:rFonts w:cs="Arial" w:hint="eastAsia"/>
          <w:color w:val="000000" w:themeColor="text1"/>
          <w:szCs w:val="21"/>
        </w:rPr>
        <w:t>本周</w:t>
      </w:r>
      <w:r w:rsidRPr="00530786">
        <w:rPr>
          <w:rFonts w:cs="Arial" w:hint="eastAsia"/>
          <w:color w:val="000000" w:themeColor="text1"/>
          <w:szCs w:val="21"/>
        </w:rPr>
        <w:t>全国高炉开工率为</w:t>
      </w:r>
      <w:r>
        <w:rPr>
          <w:rFonts w:cs="Arial"/>
          <w:color w:val="000000" w:themeColor="text1"/>
          <w:szCs w:val="21"/>
        </w:rPr>
        <w:t>57.18</w:t>
      </w:r>
      <w:r w:rsidRPr="00530786">
        <w:rPr>
          <w:rFonts w:cs="Arial" w:hint="eastAsia"/>
          <w:color w:val="000000" w:themeColor="text1"/>
          <w:szCs w:val="21"/>
        </w:rPr>
        <w:t>%</w:t>
      </w:r>
      <w:r w:rsidRPr="00530786">
        <w:rPr>
          <w:rFonts w:cs="Arial" w:hint="eastAsia"/>
          <w:color w:val="000000" w:themeColor="text1"/>
          <w:szCs w:val="21"/>
        </w:rPr>
        <w:t>，较</w:t>
      </w:r>
      <w:r w:rsidR="005B5588">
        <w:rPr>
          <w:rFonts w:cs="Arial" w:hint="eastAsia"/>
          <w:color w:val="000000" w:themeColor="text1"/>
          <w:szCs w:val="21"/>
        </w:rPr>
        <w:t>上</w:t>
      </w:r>
      <w:r>
        <w:rPr>
          <w:rFonts w:cs="Arial" w:hint="eastAsia"/>
          <w:color w:val="000000" w:themeColor="text1"/>
          <w:szCs w:val="21"/>
        </w:rPr>
        <w:t>周回落</w:t>
      </w:r>
      <w:r>
        <w:rPr>
          <w:rFonts w:cs="Arial"/>
          <w:color w:val="000000" w:themeColor="text1"/>
          <w:szCs w:val="21"/>
        </w:rPr>
        <w:t>0.42</w:t>
      </w:r>
      <w:r w:rsidRPr="00530786">
        <w:rPr>
          <w:rFonts w:cs="Arial" w:hint="eastAsia"/>
          <w:color w:val="000000" w:themeColor="text1"/>
          <w:szCs w:val="21"/>
        </w:rPr>
        <w:t>个百分点</w:t>
      </w:r>
      <w:bookmarkStart w:id="19" w:name="_Hlk74416669"/>
      <w:r>
        <w:rPr>
          <w:rFonts w:cs="Arial" w:hint="eastAsia"/>
          <w:color w:val="000000" w:themeColor="text1"/>
          <w:szCs w:val="21"/>
        </w:rPr>
        <w:t>。</w:t>
      </w:r>
      <w:r w:rsidRPr="00465808">
        <w:rPr>
          <w:rFonts w:cs="Arial"/>
          <w:szCs w:val="21"/>
        </w:rPr>
        <w:t>唐山高炉开工率</w:t>
      </w:r>
      <w:r>
        <w:rPr>
          <w:rFonts w:cs="Arial" w:hint="eastAsia"/>
          <w:szCs w:val="21"/>
        </w:rPr>
        <w:t>5</w:t>
      </w:r>
      <w:r>
        <w:rPr>
          <w:rFonts w:cs="Arial"/>
          <w:szCs w:val="21"/>
        </w:rPr>
        <w:t>3.17</w:t>
      </w:r>
      <w:r>
        <w:rPr>
          <w:rFonts w:cs="Arial" w:hint="eastAsia"/>
          <w:szCs w:val="21"/>
        </w:rPr>
        <w:t>%</w:t>
      </w:r>
      <w:r>
        <w:rPr>
          <w:rFonts w:cs="Arial" w:hint="eastAsia"/>
          <w:szCs w:val="21"/>
        </w:rPr>
        <w:t>，较</w:t>
      </w:r>
      <w:r w:rsidR="005B5588">
        <w:rPr>
          <w:rFonts w:cs="Arial" w:hint="eastAsia"/>
          <w:szCs w:val="21"/>
        </w:rPr>
        <w:t>上</w:t>
      </w:r>
      <w:r>
        <w:rPr>
          <w:rFonts w:cs="Arial" w:hint="eastAsia"/>
          <w:szCs w:val="21"/>
        </w:rPr>
        <w:t>周上升</w:t>
      </w:r>
      <w:r>
        <w:rPr>
          <w:rFonts w:cs="Arial"/>
          <w:szCs w:val="21"/>
        </w:rPr>
        <w:t>0.79</w:t>
      </w:r>
      <w:r>
        <w:rPr>
          <w:rFonts w:cs="Arial" w:hint="eastAsia"/>
          <w:szCs w:val="21"/>
        </w:rPr>
        <w:t>个百分点，产能利用率上涨</w:t>
      </w:r>
      <w:r>
        <w:rPr>
          <w:rFonts w:cs="Arial" w:hint="eastAsia"/>
          <w:szCs w:val="21"/>
        </w:rPr>
        <w:t>1.8</w:t>
      </w:r>
      <w:r>
        <w:rPr>
          <w:rFonts w:cs="Arial"/>
          <w:szCs w:val="21"/>
        </w:rPr>
        <w:t>1</w:t>
      </w:r>
      <w:r>
        <w:rPr>
          <w:rFonts w:cs="Arial" w:hint="eastAsia"/>
          <w:szCs w:val="21"/>
        </w:rPr>
        <w:t>百分点，报</w:t>
      </w:r>
      <w:r>
        <w:rPr>
          <w:rFonts w:cs="Arial"/>
          <w:szCs w:val="21"/>
        </w:rPr>
        <w:t>65.52</w:t>
      </w:r>
      <w:r>
        <w:rPr>
          <w:rFonts w:cs="Arial" w:hint="eastAsia"/>
          <w:szCs w:val="21"/>
        </w:rPr>
        <w:t>%</w:t>
      </w:r>
      <w:r w:rsidRPr="00AC066E">
        <w:rPr>
          <w:rFonts w:cs="Arial" w:hint="eastAsia"/>
          <w:szCs w:val="21"/>
        </w:rPr>
        <w:t>。</w:t>
      </w:r>
      <w:r>
        <w:rPr>
          <w:rFonts w:cs="Arial" w:hint="eastAsia"/>
          <w:szCs w:val="21"/>
        </w:rPr>
        <w:t>本周</w:t>
      </w:r>
      <w:r w:rsidRPr="005B7317">
        <w:rPr>
          <w:rFonts w:cs="Arial"/>
          <w:szCs w:val="21"/>
        </w:rPr>
        <w:t>汽车轮胎</w:t>
      </w:r>
      <w:r>
        <w:rPr>
          <w:rFonts w:cs="Arial" w:hint="eastAsia"/>
          <w:szCs w:val="21"/>
        </w:rPr>
        <w:t>全钢胎</w:t>
      </w:r>
      <w:r w:rsidRPr="005B7317">
        <w:rPr>
          <w:rFonts w:cs="Arial"/>
          <w:szCs w:val="21"/>
        </w:rPr>
        <w:t>开工率</w:t>
      </w:r>
      <w:r>
        <w:rPr>
          <w:rFonts w:cs="Arial"/>
          <w:szCs w:val="21"/>
        </w:rPr>
        <w:t>61.33%</w:t>
      </w:r>
      <w:r>
        <w:rPr>
          <w:rFonts w:cs="Arial" w:hint="eastAsia"/>
          <w:szCs w:val="21"/>
        </w:rPr>
        <w:t>，较上周下降</w:t>
      </w:r>
      <w:r>
        <w:rPr>
          <w:rFonts w:cs="Arial" w:hint="eastAsia"/>
          <w:szCs w:val="21"/>
        </w:rPr>
        <w:t>2</w:t>
      </w:r>
      <w:r>
        <w:rPr>
          <w:rFonts w:cs="Arial"/>
          <w:szCs w:val="21"/>
        </w:rPr>
        <w:t>.52</w:t>
      </w:r>
      <w:r>
        <w:rPr>
          <w:rFonts w:cs="Arial" w:hint="eastAsia"/>
          <w:szCs w:val="21"/>
        </w:rPr>
        <w:t>个百分点，半钢胎开工率</w:t>
      </w:r>
      <w:r>
        <w:rPr>
          <w:rFonts w:cs="Arial" w:hint="eastAsia"/>
          <w:szCs w:val="21"/>
        </w:rPr>
        <w:t>5</w:t>
      </w:r>
      <w:r>
        <w:rPr>
          <w:rFonts w:cs="Arial"/>
          <w:szCs w:val="21"/>
        </w:rPr>
        <w:t>7.29%</w:t>
      </w:r>
      <w:r>
        <w:rPr>
          <w:rFonts w:cs="Arial" w:hint="eastAsia"/>
          <w:szCs w:val="21"/>
        </w:rPr>
        <w:t>，下降</w:t>
      </w:r>
      <w:r>
        <w:rPr>
          <w:rFonts w:cs="Arial" w:hint="eastAsia"/>
          <w:szCs w:val="21"/>
        </w:rPr>
        <w:t>2</w:t>
      </w:r>
      <w:r>
        <w:rPr>
          <w:rFonts w:cs="Arial"/>
          <w:szCs w:val="21"/>
        </w:rPr>
        <w:t>.91</w:t>
      </w:r>
      <w:r>
        <w:rPr>
          <w:rFonts w:cs="Arial" w:hint="eastAsia"/>
          <w:szCs w:val="21"/>
        </w:rPr>
        <w:t>个百分点</w:t>
      </w:r>
      <w:r w:rsidRPr="00F53BC5">
        <w:rPr>
          <w:rFonts w:cs="Arial" w:hint="eastAsia"/>
          <w:szCs w:val="21"/>
        </w:rPr>
        <w:t>。</w:t>
      </w:r>
      <w:r w:rsidRPr="00521697">
        <w:rPr>
          <w:rFonts w:cs="Arial" w:hint="eastAsia"/>
          <w:szCs w:val="21"/>
        </w:rPr>
        <w:t>9</w:t>
      </w:r>
      <w:r w:rsidRPr="00521697">
        <w:rPr>
          <w:rFonts w:cs="Arial" w:hint="eastAsia"/>
          <w:szCs w:val="21"/>
        </w:rPr>
        <w:t>、</w:t>
      </w:r>
      <w:r w:rsidRPr="00521697">
        <w:rPr>
          <w:rFonts w:cs="Arial" w:hint="eastAsia"/>
          <w:szCs w:val="21"/>
        </w:rPr>
        <w:t>10</w:t>
      </w:r>
      <w:r w:rsidRPr="00521697">
        <w:rPr>
          <w:rFonts w:cs="Arial" w:hint="eastAsia"/>
          <w:szCs w:val="21"/>
        </w:rPr>
        <w:t>月份是</w:t>
      </w:r>
      <w:r w:rsidR="005B5588">
        <w:rPr>
          <w:rFonts w:cs="Arial" w:hint="eastAsia"/>
          <w:szCs w:val="21"/>
        </w:rPr>
        <w:t>轮胎</w:t>
      </w:r>
      <w:r w:rsidRPr="00521697">
        <w:rPr>
          <w:rFonts w:cs="Arial" w:hint="eastAsia"/>
          <w:szCs w:val="21"/>
        </w:rPr>
        <w:t>需求的传统旺季，企业</w:t>
      </w:r>
      <w:r>
        <w:rPr>
          <w:rFonts w:cs="Arial" w:hint="eastAsia"/>
          <w:szCs w:val="21"/>
        </w:rPr>
        <w:t>轮胎</w:t>
      </w:r>
      <w:r w:rsidRPr="00521697">
        <w:rPr>
          <w:rFonts w:cs="Arial" w:hint="eastAsia"/>
          <w:szCs w:val="21"/>
        </w:rPr>
        <w:t>开工有望出现抬升。</w:t>
      </w:r>
      <w:r w:rsidRPr="008769A2">
        <w:rPr>
          <w:rFonts w:cs="Arial"/>
          <w:b/>
          <w:bCs/>
          <w:szCs w:val="21"/>
        </w:rPr>
        <w:t>化工方面</w:t>
      </w:r>
      <w:r w:rsidRPr="00355362">
        <w:rPr>
          <w:rFonts w:cs="Arial"/>
          <w:szCs w:val="21"/>
        </w:rPr>
        <w:t>，</w:t>
      </w:r>
      <w:r w:rsidRPr="00355362">
        <w:rPr>
          <w:rFonts w:cs="Arial"/>
          <w:szCs w:val="21"/>
        </w:rPr>
        <w:t>PX</w:t>
      </w:r>
      <w:r w:rsidRPr="00355362">
        <w:rPr>
          <w:rFonts w:cs="Arial"/>
          <w:szCs w:val="21"/>
        </w:rPr>
        <w:t>开工率</w:t>
      </w:r>
      <w:r w:rsidRPr="00355362">
        <w:rPr>
          <w:rFonts w:cs="Arial"/>
          <w:szCs w:val="21"/>
        </w:rPr>
        <w:t>7</w:t>
      </w:r>
      <w:r>
        <w:rPr>
          <w:rFonts w:cs="Arial"/>
          <w:szCs w:val="21"/>
        </w:rPr>
        <w:t>8.13</w:t>
      </w:r>
      <w:r w:rsidRPr="00355362">
        <w:rPr>
          <w:rFonts w:cs="Arial" w:hint="eastAsia"/>
          <w:szCs w:val="21"/>
        </w:rPr>
        <w:t>%</w:t>
      </w:r>
      <w:r>
        <w:rPr>
          <w:rFonts w:cs="Arial" w:hint="eastAsia"/>
          <w:szCs w:val="21"/>
        </w:rPr>
        <w:t>，较</w:t>
      </w:r>
      <w:r w:rsidR="005B5588">
        <w:rPr>
          <w:rFonts w:cs="Arial" w:hint="eastAsia"/>
          <w:szCs w:val="21"/>
        </w:rPr>
        <w:t>上</w:t>
      </w:r>
      <w:r>
        <w:rPr>
          <w:rFonts w:cs="Arial" w:hint="eastAsia"/>
          <w:szCs w:val="21"/>
        </w:rPr>
        <w:t>周小幅下降</w:t>
      </w:r>
      <w:r>
        <w:rPr>
          <w:rFonts w:cs="Arial" w:hint="eastAsia"/>
          <w:szCs w:val="21"/>
        </w:rPr>
        <w:t>0</w:t>
      </w:r>
      <w:r>
        <w:rPr>
          <w:rFonts w:cs="Arial"/>
          <w:szCs w:val="21"/>
        </w:rPr>
        <w:t>.51</w:t>
      </w:r>
      <w:r>
        <w:rPr>
          <w:rFonts w:cs="Arial" w:hint="eastAsia"/>
          <w:szCs w:val="21"/>
        </w:rPr>
        <w:t>个百分点。</w:t>
      </w:r>
      <w:r>
        <w:rPr>
          <w:rFonts w:cs="Arial" w:hint="eastAsia"/>
          <w:szCs w:val="21"/>
        </w:rPr>
        <w:t>P</w:t>
      </w:r>
      <w:r>
        <w:rPr>
          <w:rFonts w:cs="Arial"/>
          <w:szCs w:val="21"/>
        </w:rPr>
        <w:t>TA</w:t>
      </w:r>
      <w:r>
        <w:rPr>
          <w:rFonts w:cs="Arial" w:hint="eastAsia"/>
          <w:szCs w:val="21"/>
        </w:rPr>
        <w:t>开工率</w:t>
      </w:r>
      <w:r w:rsidRPr="00E42CE6">
        <w:rPr>
          <w:rFonts w:cs="Arial"/>
          <w:szCs w:val="21"/>
        </w:rPr>
        <w:t>7</w:t>
      </w:r>
      <w:r>
        <w:rPr>
          <w:rFonts w:cs="Arial"/>
          <w:szCs w:val="21"/>
        </w:rPr>
        <w:t>6</w:t>
      </w:r>
      <w:r w:rsidRPr="00E42CE6">
        <w:rPr>
          <w:rFonts w:cs="Arial"/>
          <w:szCs w:val="21"/>
        </w:rPr>
        <w:t>.</w:t>
      </w:r>
      <w:r>
        <w:rPr>
          <w:rFonts w:cs="Arial"/>
          <w:szCs w:val="21"/>
        </w:rPr>
        <w:t>52</w:t>
      </w:r>
      <w:r w:rsidRPr="00E42CE6">
        <w:rPr>
          <w:rFonts w:cs="Arial" w:hint="eastAsia"/>
          <w:szCs w:val="21"/>
        </w:rPr>
        <w:t>%</w:t>
      </w:r>
      <w:r w:rsidRPr="00E42CE6">
        <w:rPr>
          <w:rFonts w:cs="Arial" w:hint="eastAsia"/>
          <w:szCs w:val="21"/>
        </w:rPr>
        <w:t>，</w:t>
      </w:r>
      <w:r>
        <w:rPr>
          <w:rFonts w:cs="Arial" w:hint="eastAsia"/>
          <w:szCs w:val="21"/>
        </w:rPr>
        <w:t>反弹</w:t>
      </w:r>
      <w:r>
        <w:rPr>
          <w:rFonts w:cs="Arial"/>
          <w:szCs w:val="21"/>
        </w:rPr>
        <w:t>3.52</w:t>
      </w:r>
      <w:r>
        <w:rPr>
          <w:rFonts w:cs="Arial" w:hint="eastAsia"/>
          <w:szCs w:val="21"/>
        </w:rPr>
        <w:t>个百分点，</w:t>
      </w:r>
      <w:r w:rsidR="005B5588">
        <w:rPr>
          <w:rFonts w:cs="Arial" w:hint="eastAsia"/>
          <w:szCs w:val="21"/>
        </w:rPr>
        <w:t>随着</w:t>
      </w:r>
      <w:r w:rsidR="005B5588">
        <w:rPr>
          <w:rFonts w:cs="Arial" w:hint="eastAsia"/>
          <w:szCs w:val="21"/>
        </w:rPr>
        <w:t>8</w:t>
      </w:r>
      <w:r>
        <w:rPr>
          <w:rFonts w:cs="Arial" w:hint="eastAsia"/>
          <w:szCs w:val="21"/>
        </w:rPr>
        <w:t>月下旬</w:t>
      </w:r>
      <w:r>
        <w:rPr>
          <w:rFonts w:cs="Arial" w:hint="eastAsia"/>
          <w:szCs w:val="21"/>
        </w:rPr>
        <w:t>P</w:t>
      </w:r>
      <w:r>
        <w:rPr>
          <w:rFonts w:cs="Arial"/>
          <w:szCs w:val="21"/>
        </w:rPr>
        <w:t>TA</w:t>
      </w:r>
      <w:r w:rsidRPr="00E832BF">
        <w:rPr>
          <w:rFonts w:cs="Arial" w:hint="eastAsia"/>
          <w:szCs w:val="21"/>
        </w:rPr>
        <w:t>装置检修</w:t>
      </w:r>
      <w:r>
        <w:rPr>
          <w:rFonts w:cs="Arial" w:hint="eastAsia"/>
          <w:szCs w:val="21"/>
        </w:rPr>
        <w:t>陆续完成</w:t>
      </w:r>
      <w:r w:rsidRPr="00E832BF">
        <w:rPr>
          <w:rFonts w:cs="Arial" w:hint="eastAsia"/>
          <w:szCs w:val="21"/>
        </w:rPr>
        <w:t>，</w:t>
      </w:r>
      <w:r>
        <w:rPr>
          <w:rFonts w:cs="Arial" w:hint="eastAsia"/>
          <w:szCs w:val="21"/>
        </w:rPr>
        <w:t>预计后市仍有反弹空间</w:t>
      </w:r>
      <w:r w:rsidRPr="00E832BF">
        <w:rPr>
          <w:rFonts w:cs="Arial" w:hint="eastAsia"/>
          <w:szCs w:val="21"/>
        </w:rPr>
        <w:t>。</w:t>
      </w:r>
      <w:r w:rsidRPr="00FE0881">
        <w:rPr>
          <w:rFonts w:cs="Arial" w:hint="eastAsia"/>
          <w:szCs w:val="21"/>
        </w:rPr>
        <w:t>涤纶长丝开工率</w:t>
      </w:r>
      <w:r w:rsidR="005B5588">
        <w:rPr>
          <w:rFonts w:cs="Arial" w:hint="eastAsia"/>
          <w:szCs w:val="21"/>
        </w:rPr>
        <w:t>小幅上涨至</w:t>
      </w:r>
      <w:r>
        <w:rPr>
          <w:rFonts w:cs="Arial" w:hint="eastAsia"/>
          <w:szCs w:val="21"/>
        </w:rPr>
        <w:t>9</w:t>
      </w:r>
      <w:r>
        <w:rPr>
          <w:rFonts w:cs="Arial"/>
          <w:szCs w:val="21"/>
        </w:rPr>
        <w:t>6.15%</w:t>
      </w:r>
      <w:r w:rsidR="00F658E4">
        <w:rPr>
          <w:rFonts w:cs="Arial" w:hint="eastAsia"/>
          <w:szCs w:val="21"/>
        </w:rPr>
        <w:t>的</w:t>
      </w:r>
      <w:r w:rsidRPr="00FE0881">
        <w:rPr>
          <w:rFonts w:cs="Arial" w:hint="eastAsia"/>
          <w:szCs w:val="21"/>
        </w:rPr>
        <w:t>高位水平</w:t>
      </w:r>
      <w:r>
        <w:rPr>
          <w:rFonts w:cs="Arial" w:hint="eastAsia"/>
          <w:szCs w:val="21"/>
        </w:rPr>
        <w:t>，但</w:t>
      </w:r>
      <w:r w:rsidRPr="00C57074">
        <w:rPr>
          <w:rFonts w:cs="Arial" w:hint="eastAsia"/>
          <w:szCs w:val="21"/>
        </w:rPr>
        <w:t>涤丝价格</w:t>
      </w:r>
      <w:r w:rsidR="005B5588">
        <w:rPr>
          <w:rFonts w:cs="Arial" w:hint="eastAsia"/>
          <w:szCs w:val="21"/>
        </w:rPr>
        <w:t>却</w:t>
      </w:r>
      <w:r w:rsidRPr="00C57074">
        <w:rPr>
          <w:rFonts w:cs="Arial" w:hint="eastAsia"/>
          <w:szCs w:val="21"/>
        </w:rPr>
        <w:t>不断下滑</w:t>
      </w:r>
      <w:r>
        <w:rPr>
          <w:rFonts w:cs="Arial" w:hint="eastAsia"/>
          <w:szCs w:val="21"/>
        </w:rPr>
        <w:t>，</w:t>
      </w:r>
      <w:r w:rsidR="005B5588">
        <w:rPr>
          <w:rFonts w:cs="Arial" w:hint="eastAsia"/>
          <w:szCs w:val="21"/>
        </w:rPr>
        <w:t>导致</w:t>
      </w:r>
      <w:r>
        <w:rPr>
          <w:rFonts w:cs="Arial" w:hint="eastAsia"/>
          <w:szCs w:val="21"/>
        </w:rPr>
        <w:t>产品利润被压缩，</w:t>
      </w:r>
      <w:r w:rsidR="005B5588" w:rsidRPr="005B5588">
        <w:rPr>
          <w:rFonts w:cs="Arial" w:hint="eastAsia"/>
          <w:szCs w:val="21"/>
        </w:rPr>
        <w:t>涤丝大厂</w:t>
      </w:r>
      <w:r w:rsidRPr="00C57074">
        <w:rPr>
          <w:rFonts w:cs="Arial" w:hint="eastAsia"/>
          <w:szCs w:val="21"/>
        </w:rPr>
        <w:t>计划减产</w:t>
      </w:r>
      <w:r w:rsidR="00F658E4">
        <w:rPr>
          <w:rFonts w:cs="Arial" w:hint="eastAsia"/>
          <w:szCs w:val="21"/>
        </w:rPr>
        <w:lastRenderedPageBreak/>
        <w:t>以</w:t>
      </w:r>
      <w:r w:rsidR="005B5588">
        <w:rPr>
          <w:rFonts w:cs="Arial" w:hint="eastAsia"/>
          <w:szCs w:val="21"/>
        </w:rPr>
        <w:t>保持价格稳定</w:t>
      </w:r>
      <w:r w:rsidRPr="003926CC">
        <w:rPr>
          <w:rFonts w:cs="Arial" w:hint="eastAsia"/>
          <w:szCs w:val="21"/>
        </w:rPr>
        <w:t>。</w:t>
      </w:r>
      <w:r w:rsidRPr="00503439">
        <w:rPr>
          <w:rFonts w:cs="Arial" w:hint="eastAsia"/>
          <w:szCs w:val="21"/>
        </w:rPr>
        <w:t>本周</w:t>
      </w:r>
      <w:r w:rsidRPr="00503439">
        <w:rPr>
          <w:rFonts w:cs="Arial"/>
          <w:szCs w:val="21"/>
        </w:rPr>
        <w:t>主要钢厂螺纹钢产量</w:t>
      </w:r>
      <w:r w:rsidRPr="00503439">
        <w:rPr>
          <w:rFonts w:cs="Arial"/>
          <w:szCs w:val="21"/>
        </w:rPr>
        <w:t>324.68</w:t>
      </w:r>
      <w:r w:rsidRPr="00503439">
        <w:rPr>
          <w:rFonts w:cs="Arial"/>
          <w:szCs w:val="21"/>
        </w:rPr>
        <w:t>万吨，</w:t>
      </w:r>
      <w:r w:rsidRPr="00503439">
        <w:rPr>
          <w:rFonts w:cs="Arial" w:hint="eastAsia"/>
          <w:szCs w:val="21"/>
        </w:rPr>
        <w:t>周</w:t>
      </w:r>
      <w:r w:rsidRPr="00503439">
        <w:rPr>
          <w:rFonts w:cs="Arial"/>
          <w:szCs w:val="21"/>
        </w:rPr>
        <w:t>环比</w:t>
      </w:r>
      <w:r w:rsidRPr="00503439">
        <w:rPr>
          <w:rFonts w:cs="Arial" w:hint="eastAsia"/>
          <w:szCs w:val="21"/>
        </w:rPr>
        <w:t>下降</w:t>
      </w:r>
      <w:r w:rsidRPr="00503439">
        <w:rPr>
          <w:rFonts w:cs="Arial" w:hint="eastAsia"/>
          <w:szCs w:val="21"/>
        </w:rPr>
        <w:t>1</w:t>
      </w:r>
      <w:r w:rsidRPr="00503439">
        <w:rPr>
          <w:rFonts w:cs="Arial"/>
          <w:szCs w:val="21"/>
        </w:rPr>
        <w:t>.12%</w:t>
      </w:r>
      <w:r w:rsidR="00F658E4">
        <w:rPr>
          <w:rFonts w:cs="Arial" w:hint="eastAsia"/>
          <w:szCs w:val="21"/>
        </w:rPr>
        <w:t>，主要受到需求减少影响。</w:t>
      </w:r>
    </w:p>
    <w:p w14:paraId="4D9E1ACB" w14:textId="77777777" w:rsidR="004905C9" w:rsidRDefault="004905C9" w:rsidP="00247D79">
      <w:pPr>
        <w:ind w:left="3681"/>
        <w:rPr>
          <w:rFonts w:cs="Arial"/>
          <w:szCs w:val="21"/>
        </w:rPr>
      </w:pPr>
    </w:p>
    <w:tbl>
      <w:tblPr>
        <w:tblStyle w:val="af"/>
        <w:tblW w:w="10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20"/>
      </w:tblGrid>
      <w:tr w:rsidR="004905C9" w:rsidRPr="00D85A79" w14:paraId="77E37659" w14:textId="77777777" w:rsidTr="00883778">
        <w:trPr>
          <w:trHeight w:val="113"/>
        </w:trPr>
        <w:tc>
          <w:tcPr>
            <w:tcW w:w="10420" w:type="dxa"/>
            <w:tcBorders>
              <w:top w:val="single" w:sz="12" w:space="0" w:color="C00000"/>
              <w:bottom w:val="single" w:sz="2" w:space="0" w:color="C00000"/>
            </w:tcBorders>
            <w:shd w:val="clear" w:color="auto" w:fill="auto"/>
          </w:tcPr>
          <w:p w14:paraId="4576C153" w14:textId="05119E5C" w:rsidR="004905C9" w:rsidRPr="00D85A79" w:rsidRDefault="004905C9" w:rsidP="00883778">
            <w:pPr>
              <w:rPr>
                <w:rFonts w:cs="Arial"/>
                <w:b/>
                <w:i/>
                <w:color w:val="C00000"/>
              </w:rPr>
            </w:pPr>
            <w:bookmarkStart w:id="20" w:name="_Toc73913244"/>
            <w:bookmarkStart w:id="21" w:name="_Toc76232405"/>
            <w:bookmarkStart w:id="22" w:name="_Toc77436414"/>
            <w:bookmarkStart w:id="23" w:name="_Toc77446361"/>
            <w:bookmarkStart w:id="24" w:name="_Toc78639990"/>
            <w:bookmarkStart w:id="25" w:name="_Toc78661092"/>
            <w:bookmarkStart w:id="26" w:name="_Toc80478241"/>
            <w:bookmarkEnd w:id="19"/>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w:instrText>
            </w:r>
            <w:r w:rsidRPr="00D85A79">
              <w:rPr>
                <w:rFonts w:cs="Arial" w:hint="eastAsia"/>
                <w:b/>
                <w:i/>
                <w:color w:val="C00000"/>
              </w:rPr>
              <w:instrText xml:space="preserve">SEQ </w:instrText>
            </w:r>
            <w:r w:rsidRPr="00D85A79">
              <w:rPr>
                <w:rFonts w:cs="Arial" w:hint="eastAsia"/>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7</w:t>
            </w:r>
            <w:r w:rsidRPr="00D85A79">
              <w:rPr>
                <w:rFonts w:cs="Arial"/>
                <w:b/>
                <w:i/>
                <w:color w:val="C00000"/>
              </w:rPr>
              <w:fldChar w:fldCharType="end"/>
            </w:r>
            <w:r w:rsidRPr="00D85A79">
              <w:rPr>
                <w:rFonts w:cs="Arial" w:hint="eastAsia"/>
                <w:b/>
                <w:i/>
                <w:color w:val="C00000"/>
              </w:rPr>
              <w:t>：生产端主要高频数据</w:t>
            </w:r>
            <w:bookmarkEnd w:id="20"/>
            <w:bookmarkEnd w:id="21"/>
            <w:bookmarkEnd w:id="22"/>
            <w:bookmarkEnd w:id="23"/>
            <w:bookmarkEnd w:id="24"/>
            <w:bookmarkEnd w:id="25"/>
            <w:bookmarkEnd w:id="26"/>
          </w:p>
        </w:tc>
      </w:tr>
      <w:tr w:rsidR="004905C9" w:rsidRPr="00D85A79" w14:paraId="0F2D342C" w14:textId="77777777" w:rsidTr="00883778">
        <w:trPr>
          <w:trHeight w:val="279"/>
        </w:trPr>
        <w:tc>
          <w:tcPr>
            <w:tcW w:w="10420" w:type="dxa"/>
            <w:tcBorders>
              <w:top w:val="single" w:sz="2" w:space="0" w:color="C00000"/>
              <w:bottom w:val="single" w:sz="8" w:space="0" w:color="C00000"/>
            </w:tcBorders>
            <w:shd w:val="clear" w:color="auto" w:fill="auto"/>
          </w:tcPr>
          <w:tbl>
            <w:tblPr>
              <w:tblW w:w="10181" w:type="dxa"/>
              <w:tblLayout w:type="fixed"/>
              <w:tblLook w:val="04A0" w:firstRow="1" w:lastRow="0" w:firstColumn="1" w:lastColumn="0" w:noHBand="0" w:noVBand="1"/>
            </w:tblPr>
            <w:tblGrid>
              <w:gridCol w:w="597"/>
              <w:gridCol w:w="3266"/>
              <w:gridCol w:w="709"/>
              <w:gridCol w:w="926"/>
              <w:gridCol w:w="998"/>
              <w:gridCol w:w="992"/>
              <w:gridCol w:w="992"/>
              <w:gridCol w:w="1701"/>
            </w:tblGrid>
            <w:tr w:rsidR="004905C9" w:rsidRPr="00D85A79" w14:paraId="42DE7C9F" w14:textId="77777777" w:rsidTr="002D109E">
              <w:trPr>
                <w:trHeight w:val="225"/>
              </w:trPr>
              <w:tc>
                <w:tcPr>
                  <w:tcW w:w="597" w:type="dxa"/>
                  <w:tcBorders>
                    <w:top w:val="single" w:sz="8" w:space="0" w:color="C0002E"/>
                    <w:left w:val="nil"/>
                    <w:bottom w:val="single" w:sz="4" w:space="0" w:color="C0504D"/>
                    <w:right w:val="nil"/>
                  </w:tcBorders>
                  <w:shd w:val="clear" w:color="000000" w:fill="C0504D"/>
                  <w:noWrap/>
                  <w:vAlign w:val="bottom"/>
                </w:tcPr>
                <w:p w14:paraId="6C40356E" w14:textId="77777777" w:rsidR="004905C9" w:rsidRPr="00D85A79" w:rsidRDefault="004905C9" w:rsidP="00883778">
                  <w:pPr>
                    <w:widowControl/>
                    <w:jc w:val="left"/>
                    <w:rPr>
                      <w:rFonts w:ascii="华文楷体" w:eastAsia="华文楷体" w:hAnsi="华文楷体" w:cs="宋体"/>
                      <w:b/>
                      <w:bCs/>
                      <w:color w:val="FFFFFF"/>
                      <w:kern w:val="0"/>
                      <w:sz w:val="16"/>
                      <w:szCs w:val="16"/>
                    </w:rPr>
                  </w:pPr>
                  <w:r>
                    <w:rPr>
                      <w:rFonts w:ascii="华文楷体" w:eastAsia="华文楷体" w:hAnsi="华文楷体" w:hint="eastAsia"/>
                      <w:b/>
                      <w:bCs/>
                      <w:color w:val="FFFFFF"/>
                      <w:sz w:val="16"/>
                      <w:szCs w:val="16"/>
                    </w:rPr>
                    <w:t>大类</w:t>
                  </w:r>
                </w:p>
              </w:tc>
              <w:tc>
                <w:tcPr>
                  <w:tcW w:w="3266" w:type="dxa"/>
                  <w:tcBorders>
                    <w:top w:val="single" w:sz="8" w:space="0" w:color="C0002E"/>
                    <w:left w:val="nil"/>
                    <w:bottom w:val="single" w:sz="4" w:space="0" w:color="C0504D"/>
                    <w:right w:val="nil"/>
                  </w:tcBorders>
                  <w:shd w:val="clear" w:color="000000" w:fill="C0504D"/>
                  <w:noWrap/>
                  <w:vAlign w:val="bottom"/>
                </w:tcPr>
                <w:p w14:paraId="764EBBF6"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指标名称</w:t>
                  </w:r>
                </w:p>
              </w:tc>
              <w:tc>
                <w:tcPr>
                  <w:tcW w:w="709" w:type="dxa"/>
                  <w:tcBorders>
                    <w:top w:val="single" w:sz="8" w:space="0" w:color="C0002E"/>
                    <w:left w:val="nil"/>
                    <w:bottom w:val="single" w:sz="4" w:space="0" w:color="C0504D"/>
                    <w:right w:val="nil"/>
                  </w:tcBorders>
                  <w:shd w:val="clear" w:color="000000" w:fill="C0504D"/>
                  <w:noWrap/>
                  <w:vAlign w:val="bottom"/>
                </w:tcPr>
                <w:p w14:paraId="458DC813"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本周值</w:t>
                  </w:r>
                </w:p>
              </w:tc>
              <w:tc>
                <w:tcPr>
                  <w:tcW w:w="926" w:type="dxa"/>
                  <w:tcBorders>
                    <w:top w:val="single" w:sz="8" w:space="0" w:color="C0002E"/>
                    <w:left w:val="nil"/>
                    <w:bottom w:val="single" w:sz="4" w:space="0" w:color="C0504D"/>
                    <w:right w:val="nil"/>
                  </w:tcBorders>
                  <w:shd w:val="clear" w:color="000000" w:fill="C0504D"/>
                  <w:noWrap/>
                  <w:vAlign w:val="bottom"/>
                </w:tcPr>
                <w:p w14:paraId="6B41568B"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本周环比</w:t>
                  </w:r>
                  <w:r>
                    <w:rPr>
                      <w:rFonts w:eastAsia="等线" w:cs="Arial"/>
                      <w:b/>
                      <w:bCs/>
                      <w:color w:val="FFFFFF"/>
                      <w:sz w:val="16"/>
                      <w:szCs w:val="16"/>
                    </w:rPr>
                    <w:t>(%)</w:t>
                  </w:r>
                </w:p>
              </w:tc>
              <w:tc>
                <w:tcPr>
                  <w:tcW w:w="998" w:type="dxa"/>
                  <w:tcBorders>
                    <w:top w:val="single" w:sz="8" w:space="0" w:color="C0002E"/>
                    <w:left w:val="nil"/>
                    <w:bottom w:val="single" w:sz="4" w:space="0" w:color="C0504D"/>
                    <w:right w:val="nil"/>
                  </w:tcBorders>
                  <w:shd w:val="clear" w:color="000000" w:fill="C0504D"/>
                  <w:noWrap/>
                  <w:vAlign w:val="bottom"/>
                </w:tcPr>
                <w:p w14:paraId="44A203F0"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上周环比</w:t>
                  </w:r>
                  <w:r>
                    <w:rPr>
                      <w:rFonts w:eastAsia="等线" w:cs="Arial"/>
                      <w:b/>
                      <w:bCs/>
                      <w:color w:val="FFFFFF"/>
                      <w:sz w:val="16"/>
                      <w:szCs w:val="16"/>
                    </w:rPr>
                    <w:t>(%)</w:t>
                  </w:r>
                </w:p>
              </w:tc>
              <w:tc>
                <w:tcPr>
                  <w:tcW w:w="992" w:type="dxa"/>
                  <w:tcBorders>
                    <w:top w:val="single" w:sz="8" w:space="0" w:color="C0002E"/>
                    <w:left w:val="nil"/>
                    <w:bottom w:val="single" w:sz="4" w:space="0" w:color="C0504D"/>
                    <w:right w:val="nil"/>
                  </w:tcBorders>
                  <w:shd w:val="clear" w:color="000000" w:fill="C0504D"/>
                  <w:noWrap/>
                  <w:vAlign w:val="bottom"/>
                </w:tcPr>
                <w:p w14:paraId="167DE854"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月初至今环比</w:t>
                  </w:r>
                  <w:r>
                    <w:rPr>
                      <w:rFonts w:eastAsia="等线" w:cs="Arial"/>
                      <w:b/>
                      <w:bCs/>
                      <w:color w:val="FFFFFF"/>
                      <w:sz w:val="16"/>
                      <w:szCs w:val="16"/>
                    </w:rPr>
                    <w:t>(%)</w:t>
                  </w:r>
                </w:p>
              </w:tc>
              <w:tc>
                <w:tcPr>
                  <w:tcW w:w="992" w:type="dxa"/>
                  <w:tcBorders>
                    <w:top w:val="single" w:sz="8" w:space="0" w:color="C0002E"/>
                    <w:left w:val="nil"/>
                    <w:bottom w:val="single" w:sz="4" w:space="0" w:color="C0504D"/>
                    <w:right w:val="nil"/>
                  </w:tcBorders>
                  <w:shd w:val="clear" w:color="000000" w:fill="C0504D"/>
                  <w:noWrap/>
                  <w:vAlign w:val="bottom"/>
                </w:tcPr>
                <w:p w14:paraId="7746A5B2"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月初至今同比</w:t>
                  </w:r>
                  <w:r>
                    <w:rPr>
                      <w:rFonts w:eastAsia="等线" w:cs="Arial"/>
                      <w:b/>
                      <w:bCs/>
                      <w:color w:val="FFFFFF"/>
                      <w:sz w:val="16"/>
                      <w:szCs w:val="16"/>
                    </w:rPr>
                    <w:t>(%)</w:t>
                  </w:r>
                </w:p>
              </w:tc>
              <w:tc>
                <w:tcPr>
                  <w:tcW w:w="1701" w:type="dxa"/>
                  <w:tcBorders>
                    <w:top w:val="single" w:sz="8" w:space="0" w:color="C0002E"/>
                    <w:left w:val="nil"/>
                    <w:bottom w:val="single" w:sz="4" w:space="0" w:color="C0504D"/>
                    <w:right w:val="nil"/>
                  </w:tcBorders>
                  <w:shd w:val="clear" w:color="000000" w:fill="C0504D"/>
                  <w:noWrap/>
                  <w:vAlign w:val="bottom"/>
                </w:tcPr>
                <w:p w14:paraId="6C4F8CEE"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更新时间</w:t>
                  </w:r>
                </w:p>
              </w:tc>
            </w:tr>
            <w:tr w:rsidR="004905C9" w:rsidRPr="00D85A79" w14:paraId="6E4B5C12" w14:textId="77777777" w:rsidTr="002D109E">
              <w:trPr>
                <w:trHeight w:val="225"/>
              </w:trPr>
              <w:tc>
                <w:tcPr>
                  <w:tcW w:w="597" w:type="dxa"/>
                  <w:vMerge w:val="restart"/>
                  <w:tcBorders>
                    <w:top w:val="single" w:sz="4" w:space="0" w:color="C0504D"/>
                    <w:left w:val="nil"/>
                    <w:bottom w:val="single" w:sz="4" w:space="0" w:color="000000"/>
                    <w:right w:val="nil"/>
                  </w:tcBorders>
                  <w:shd w:val="clear" w:color="000000" w:fill="FFFFFF"/>
                  <w:vAlign w:val="center"/>
                </w:tcPr>
                <w:p w14:paraId="6C5FCAD5" w14:textId="77777777" w:rsidR="004905C9" w:rsidRPr="00D85A79" w:rsidRDefault="004905C9" w:rsidP="00883778">
                  <w:pPr>
                    <w:widowControl/>
                    <w:jc w:val="center"/>
                    <w:rPr>
                      <w:rFonts w:eastAsia="等线" w:cs="Arial"/>
                      <w:color w:val="000000"/>
                      <w:kern w:val="0"/>
                      <w:sz w:val="16"/>
                      <w:szCs w:val="16"/>
                    </w:rPr>
                  </w:pPr>
                  <w:r>
                    <w:rPr>
                      <w:rFonts w:ascii="华文楷体" w:eastAsia="华文楷体" w:hAnsi="华文楷体" w:cs="Arial" w:hint="eastAsia"/>
                      <w:color w:val="000000"/>
                      <w:sz w:val="16"/>
                      <w:szCs w:val="16"/>
                    </w:rPr>
                    <w:t>开工率</w:t>
                  </w:r>
                </w:p>
              </w:tc>
              <w:tc>
                <w:tcPr>
                  <w:tcW w:w="3266" w:type="dxa"/>
                  <w:tcBorders>
                    <w:top w:val="single" w:sz="4" w:space="0" w:color="C0504D"/>
                    <w:left w:val="nil"/>
                    <w:bottom w:val="nil"/>
                    <w:right w:val="nil"/>
                  </w:tcBorders>
                  <w:shd w:val="clear" w:color="auto" w:fill="auto"/>
                  <w:noWrap/>
                  <w:vAlign w:val="center"/>
                </w:tcPr>
                <w:p w14:paraId="31F53CE0" w14:textId="77777777" w:rsidR="004905C9" w:rsidRPr="0095742C" w:rsidRDefault="004905C9" w:rsidP="00883778">
                  <w:pPr>
                    <w:widowControl/>
                    <w:jc w:val="center"/>
                    <w:rPr>
                      <w:rFonts w:ascii="华文楷体" w:eastAsia="华文楷体" w:hAnsi="华文楷体" w:cs="宋体"/>
                      <w:color w:val="000000"/>
                      <w:kern w:val="0"/>
                      <w:sz w:val="16"/>
                      <w:szCs w:val="16"/>
                      <w:highlight w:val="yellow"/>
                    </w:rPr>
                  </w:pPr>
                  <w:r>
                    <w:rPr>
                      <w:rFonts w:ascii="华文楷体" w:eastAsia="华文楷体" w:hAnsi="华文楷体" w:hint="eastAsia"/>
                      <w:color w:val="000000"/>
                      <w:sz w:val="16"/>
                      <w:szCs w:val="16"/>
                    </w:rPr>
                    <w:t>高炉开工率</w:t>
                  </w:r>
                  <w:r>
                    <w:rPr>
                      <w:rFonts w:eastAsia="华文楷体" w:cs="Arial"/>
                      <w:color w:val="000000"/>
                      <w:sz w:val="16"/>
                      <w:szCs w:val="16"/>
                    </w:rPr>
                    <w:t>:</w:t>
                  </w:r>
                  <w:r>
                    <w:rPr>
                      <w:rFonts w:ascii="华文楷体" w:eastAsia="华文楷体" w:hAnsi="华文楷体" w:hint="eastAsia"/>
                      <w:color w:val="000000"/>
                      <w:sz w:val="16"/>
                      <w:szCs w:val="16"/>
                    </w:rPr>
                    <w:t>全国（</w:t>
                  </w:r>
                  <w:r>
                    <w:rPr>
                      <w:rFonts w:eastAsia="华文楷体" w:cs="Arial"/>
                      <w:color w:val="000000"/>
                      <w:sz w:val="16"/>
                      <w:szCs w:val="16"/>
                    </w:rPr>
                    <w:t>%</w:t>
                  </w:r>
                  <w:r>
                    <w:rPr>
                      <w:rFonts w:ascii="华文楷体" w:eastAsia="华文楷体" w:hAnsi="华文楷体" w:hint="eastAsia"/>
                      <w:color w:val="000000"/>
                      <w:sz w:val="16"/>
                      <w:szCs w:val="16"/>
                    </w:rPr>
                    <w:t>）</w:t>
                  </w:r>
                </w:p>
              </w:tc>
              <w:tc>
                <w:tcPr>
                  <w:tcW w:w="709" w:type="dxa"/>
                  <w:tcBorders>
                    <w:top w:val="single" w:sz="4" w:space="0" w:color="C0504D"/>
                    <w:left w:val="nil"/>
                    <w:bottom w:val="nil"/>
                    <w:right w:val="nil"/>
                  </w:tcBorders>
                  <w:shd w:val="clear" w:color="000000" w:fill="DDEBF7"/>
                  <w:noWrap/>
                  <w:vAlign w:val="center"/>
                </w:tcPr>
                <w:p w14:paraId="282D1BA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57.18 </w:t>
                  </w:r>
                </w:p>
              </w:tc>
              <w:tc>
                <w:tcPr>
                  <w:tcW w:w="926" w:type="dxa"/>
                  <w:tcBorders>
                    <w:top w:val="nil"/>
                    <w:left w:val="nil"/>
                    <w:bottom w:val="nil"/>
                    <w:right w:val="nil"/>
                  </w:tcBorders>
                  <w:shd w:val="clear" w:color="000000" w:fill="E2EFDA"/>
                  <w:noWrap/>
                  <w:vAlign w:val="center"/>
                </w:tcPr>
                <w:p w14:paraId="658A3A3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-0.42 </w:t>
                  </w:r>
                </w:p>
              </w:tc>
              <w:tc>
                <w:tcPr>
                  <w:tcW w:w="998" w:type="dxa"/>
                  <w:tcBorders>
                    <w:top w:val="nil"/>
                    <w:left w:val="nil"/>
                    <w:bottom w:val="nil"/>
                    <w:right w:val="nil"/>
                  </w:tcBorders>
                  <w:shd w:val="clear" w:color="000000" w:fill="FDDCD5"/>
                  <w:noWrap/>
                  <w:vAlign w:val="center"/>
                </w:tcPr>
                <w:p w14:paraId="02E94A4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0.42 </w:t>
                  </w:r>
                </w:p>
              </w:tc>
              <w:tc>
                <w:tcPr>
                  <w:tcW w:w="992" w:type="dxa"/>
                  <w:tcBorders>
                    <w:top w:val="nil"/>
                    <w:left w:val="nil"/>
                    <w:bottom w:val="nil"/>
                    <w:right w:val="nil"/>
                  </w:tcBorders>
                  <w:shd w:val="clear" w:color="000000" w:fill="FDDCD5"/>
                  <w:noWrap/>
                  <w:vAlign w:val="center"/>
                </w:tcPr>
                <w:p w14:paraId="4AD3FD0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3.96 </w:t>
                  </w:r>
                </w:p>
              </w:tc>
              <w:tc>
                <w:tcPr>
                  <w:tcW w:w="992" w:type="dxa"/>
                  <w:tcBorders>
                    <w:top w:val="nil"/>
                    <w:left w:val="nil"/>
                    <w:bottom w:val="nil"/>
                    <w:right w:val="nil"/>
                  </w:tcBorders>
                  <w:shd w:val="clear" w:color="000000" w:fill="E2EFDA"/>
                  <w:noWrap/>
                  <w:vAlign w:val="center"/>
                </w:tcPr>
                <w:p w14:paraId="419FEBD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-13.77 </w:t>
                  </w:r>
                </w:p>
              </w:tc>
              <w:tc>
                <w:tcPr>
                  <w:tcW w:w="1701" w:type="dxa"/>
                  <w:tcBorders>
                    <w:top w:val="nil"/>
                    <w:left w:val="nil"/>
                    <w:bottom w:val="nil"/>
                    <w:right w:val="nil"/>
                  </w:tcBorders>
                  <w:shd w:val="clear" w:color="auto" w:fill="auto"/>
                  <w:noWrap/>
                  <w:vAlign w:val="center"/>
                </w:tcPr>
                <w:p w14:paraId="2F26605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6918E47D" w14:textId="77777777" w:rsidTr="00883778">
              <w:trPr>
                <w:trHeight w:val="308"/>
              </w:trPr>
              <w:tc>
                <w:tcPr>
                  <w:tcW w:w="597" w:type="dxa"/>
                  <w:vMerge/>
                  <w:tcBorders>
                    <w:top w:val="single" w:sz="4" w:space="0" w:color="C0504D"/>
                    <w:left w:val="nil"/>
                    <w:bottom w:val="single" w:sz="4" w:space="0" w:color="000000"/>
                    <w:right w:val="nil"/>
                  </w:tcBorders>
                  <w:vAlign w:val="center"/>
                </w:tcPr>
                <w:p w14:paraId="5C1816A6" w14:textId="77777777" w:rsidR="004905C9" w:rsidRPr="00D85A79" w:rsidRDefault="004905C9" w:rsidP="00883778">
                  <w:pPr>
                    <w:widowControl/>
                    <w:jc w:val="left"/>
                    <w:rPr>
                      <w:rFonts w:eastAsia="等线" w:cs="Arial"/>
                      <w:color w:val="000000"/>
                      <w:kern w:val="0"/>
                      <w:sz w:val="16"/>
                      <w:szCs w:val="16"/>
                    </w:rPr>
                  </w:pPr>
                </w:p>
              </w:tc>
              <w:tc>
                <w:tcPr>
                  <w:tcW w:w="3266" w:type="dxa"/>
                  <w:tcBorders>
                    <w:top w:val="nil"/>
                    <w:left w:val="nil"/>
                    <w:bottom w:val="nil"/>
                    <w:right w:val="nil"/>
                  </w:tcBorders>
                  <w:shd w:val="clear" w:color="auto" w:fill="auto"/>
                  <w:noWrap/>
                  <w:vAlign w:val="center"/>
                </w:tcPr>
                <w:p w14:paraId="2329BEBD" w14:textId="77777777" w:rsidR="004905C9" w:rsidRPr="0095742C" w:rsidRDefault="004905C9" w:rsidP="00883778">
                  <w:pPr>
                    <w:widowControl/>
                    <w:jc w:val="center"/>
                    <w:rPr>
                      <w:rFonts w:ascii="华文楷体" w:eastAsia="华文楷体" w:hAnsi="华文楷体" w:cs="宋体"/>
                      <w:color w:val="000000"/>
                      <w:kern w:val="0"/>
                      <w:sz w:val="16"/>
                      <w:szCs w:val="16"/>
                      <w:highlight w:val="yellow"/>
                    </w:rPr>
                  </w:pPr>
                  <w:r>
                    <w:rPr>
                      <w:rFonts w:ascii="华文楷体" w:eastAsia="华文楷体" w:hAnsi="华文楷体" w:hint="eastAsia"/>
                      <w:color w:val="000000"/>
                      <w:sz w:val="16"/>
                      <w:szCs w:val="16"/>
                    </w:rPr>
                    <w:t>高炉开工率</w:t>
                  </w:r>
                  <w:r>
                    <w:rPr>
                      <w:rFonts w:eastAsia="华文楷体" w:cs="Arial"/>
                      <w:color w:val="000000"/>
                      <w:sz w:val="16"/>
                      <w:szCs w:val="16"/>
                    </w:rPr>
                    <w:t>:</w:t>
                  </w:r>
                  <w:r>
                    <w:rPr>
                      <w:rFonts w:ascii="华文楷体" w:eastAsia="华文楷体" w:hAnsi="华文楷体" w:hint="eastAsia"/>
                      <w:color w:val="000000"/>
                      <w:sz w:val="16"/>
                      <w:szCs w:val="16"/>
                    </w:rPr>
                    <w:t>唐山钢厂（</w:t>
                  </w:r>
                  <w:r>
                    <w:rPr>
                      <w:rFonts w:eastAsia="华文楷体" w:cs="Arial"/>
                      <w:color w:val="000000"/>
                      <w:sz w:val="16"/>
                      <w:szCs w:val="16"/>
                    </w:rPr>
                    <w:t>%</w:t>
                  </w:r>
                  <w:r>
                    <w:rPr>
                      <w:rFonts w:ascii="华文楷体" w:eastAsia="华文楷体" w:hAnsi="华文楷体" w:hint="eastAsia"/>
                      <w:color w:val="000000"/>
                      <w:sz w:val="16"/>
                      <w:szCs w:val="16"/>
                    </w:rPr>
                    <w:t>）</w:t>
                  </w:r>
                </w:p>
              </w:tc>
              <w:tc>
                <w:tcPr>
                  <w:tcW w:w="709" w:type="dxa"/>
                  <w:tcBorders>
                    <w:top w:val="nil"/>
                    <w:left w:val="nil"/>
                    <w:bottom w:val="nil"/>
                    <w:right w:val="nil"/>
                  </w:tcBorders>
                  <w:shd w:val="clear" w:color="000000" w:fill="DDEBF7"/>
                  <w:noWrap/>
                  <w:vAlign w:val="center"/>
                </w:tcPr>
                <w:p w14:paraId="138729B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53.17 </w:t>
                  </w:r>
                </w:p>
              </w:tc>
              <w:tc>
                <w:tcPr>
                  <w:tcW w:w="926" w:type="dxa"/>
                  <w:tcBorders>
                    <w:top w:val="nil"/>
                    <w:left w:val="nil"/>
                    <w:bottom w:val="nil"/>
                    <w:right w:val="nil"/>
                  </w:tcBorders>
                  <w:shd w:val="clear" w:color="000000" w:fill="FDDCD5"/>
                  <w:noWrap/>
                  <w:vAlign w:val="center"/>
                </w:tcPr>
                <w:p w14:paraId="4358D94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0.79 </w:t>
                  </w:r>
                </w:p>
              </w:tc>
              <w:tc>
                <w:tcPr>
                  <w:tcW w:w="998" w:type="dxa"/>
                  <w:tcBorders>
                    <w:top w:val="nil"/>
                    <w:left w:val="nil"/>
                    <w:bottom w:val="nil"/>
                    <w:right w:val="nil"/>
                  </w:tcBorders>
                  <w:shd w:val="clear" w:color="auto" w:fill="auto"/>
                  <w:noWrap/>
                  <w:vAlign w:val="center"/>
                </w:tcPr>
                <w:p w14:paraId="42954E2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0.00 </w:t>
                  </w:r>
                </w:p>
              </w:tc>
              <w:tc>
                <w:tcPr>
                  <w:tcW w:w="992" w:type="dxa"/>
                  <w:tcBorders>
                    <w:top w:val="nil"/>
                    <w:left w:val="nil"/>
                    <w:bottom w:val="nil"/>
                    <w:right w:val="nil"/>
                  </w:tcBorders>
                  <w:shd w:val="clear" w:color="000000" w:fill="FDDCD5"/>
                  <w:noWrap/>
                  <w:vAlign w:val="center"/>
                </w:tcPr>
                <w:p w14:paraId="74E4906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19.04 </w:t>
                  </w:r>
                </w:p>
              </w:tc>
              <w:tc>
                <w:tcPr>
                  <w:tcW w:w="992" w:type="dxa"/>
                  <w:tcBorders>
                    <w:top w:val="nil"/>
                    <w:left w:val="nil"/>
                    <w:bottom w:val="nil"/>
                    <w:right w:val="nil"/>
                  </w:tcBorders>
                  <w:shd w:val="clear" w:color="000000" w:fill="E2EFDA"/>
                  <w:noWrap/>
                  <w:vAlign w:val="center"/>
                </w:tcPr>
                <w:p w14:paraId="7F839B0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-33.86 </w:t>
                  </w:r>
                </w:p>
              </w:tc>
              <w:tc>
                <w:tcPr>
                  <w:tcW w:w="1701" w:type="dxa"/>
                  <w:tcBorders>
                    <w:top w:val="nil"/>
                    <w:left w:val="nil"/>
                    <w:bottom w:val="nil"/>
                    <w:right w:val="nil"/>
                  </w:tcBorders>
                  <w:shd w:val="clear" w:color="auto" w:fill="auto"/>
                  <w:noWrap/>
                  <w:vAlign w:val="center"/>
                </w:tcPr>
                <w:p w14:paraId="76DF219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037A9EFF" w14:textId="77777777" w:rsidTr="00883778">
              <w:trPr>
                <w:trHeight w:val="308"/>
              </w:trPr>
              <w:tc>
                <w:tcPr>
                  <w:tcW w:w="597" w:type="dxa"/>
                  <w:vMerge/>
                  <w:tcBorders>
                    <w:top w:val="single" w:sz="4" w:space="0" w:color="C0504D"/>
                    <w:left w:val="nil"/>
                    <w:bottom w:val="single" w:sz="4" w:space="0" w:color="000000"/>
                    <w:right w:val="nil"/>
                  </w:tcBorders>
                  <w:vAlign w:val="center"/>
                </w:tcPr>
                <w:p w14:paraId="7B027DA0" w14:textId="77777777" w:rsidR="004905C9" w:rsidRPr="00D85A79" w:rsidRDefault="004905C9" w:rsidP="00883778">
                  <w:pPr>
                    <w:widowControl/>
                    <w:jc w:val="left"/>
                    <w:rPr>
                      <w:rFonts w:eastAsia="等线" w:cs="Arial"/>
                      <w:color w:val="000000"/>
                      <w:kern w:val="0"/>
                      <w:sz w:val="16"/>
                      <w:szCs w:val="16"/>
                    </w:rPr>
                  </w:pPr>
                </w:p>
              </w:tc>
              <w:tc>
                <w:tcPr>
                  <w:tcW w:w="3266" w:type="dxa"/>
                  <w:tcBorders>
                    <w:top w:val="nil"/>
                    <w:left w:val="nil"/>
                    <w:bottom w:val="nil"/>
                    <w:right w:val="nil"/>
                  </w:tcBorders>
                  <w:shd w:val="clear" w:color="auto" w:fill="auto"/>
                  <w:noWrap/>
                  <w:vAlign w:val="center"/>
                </w:tcPr>
                <w:p w14:paraId="299A6ABF" w14:textId="77777777" w:rsidR="004905C9" w:rsidRPr="0095742C" w:rsidRDefault="004905C9" w:rsidP="00883778">
                  <w:pPr>
                    <w:widowControl/>
                    <w:jc w:val="center"/>
                    <w:rPr>
                      <w:rFonts w:ascii="华文楷体" w:eastAsia="华文楷体" w:hAnsi="华文楷体" w:cs="宋体"/>
                      <w:color w:val="000000"/>
                      <w:kern w:val="0"/>
                      <w:sz w:val="16"/>
                      <w:szCs w:val="16"/>
                      <w:highlight w:val="yellow"/>
                    </w:rPr>
                  </w:pPr>
                  <w:r>
                    <w:rPr>
                      <w:rFonts w:ascii="华文楷体" w:eastAsia="华文楷体" w:hAnsi="华文楷体" w:hint="eastAsia"/>
                      <w:color w:val="000000"/>
                      <w:sz w:val="16"/>
                      <w:szCs w:val="16"/>
                    </w:rPr>
                    <w:t>产能利用率</w:t>
                  </w:r>
                  <w:r>
                    <w:rPr>
                      <w:rFonts w:eastAsia="华文楷体" w:cs="Arial"/>
                      <w:color w:val="000000"/>
                      <w:sz w:val="16"/>
                      <w:szCs w:val="16"/>
                    </w:rPr>
                    <w:t>:</w:t>
                  </w:r>
                  <w:r>
                    <w:rPr>
                      <w:rFonts w:ascii="华文楷体" w:eastAsia="华文楷体" w:hAnsi="华文楷体" w:hint="eastAsia"/>
                      <w:color w:val="000000"/>
                      <w:sz w:val="16"/>
                      <w:szCs w:val="16"/>
                    </w:rPr>
                    <w:t>唐山钢厂（</w:t>
                  </w:r>
                  <w:r>
                    <w:rPr>
                      <w:rFonts w:eastAsia="华文楷体" w:cs="Arial"/>
                      <w:color w:val="000000"/>
                      <w:sz w:val="16"/>
                      <w:szCs w:val="16"/>
                    </w:rPr>
                    <w:t>%</w:t>
                  </w:r>
                  <w:r>
                    <w:rPr>
                      <w:rFonts w:ascii="华文楷体" w:eastAsia="华文楷体" w:hAnsi="华文楷体" w:hint="eastAsia"/>
                      <w:color w:val="000000"/>
                      <w:sz w:val="16"/>
                      <w:szCs w:val="16"/>
                    </w:rPr>
                    <w:t>）</w:t>
                  </w:r>
                </w:p>
              </w:tc>
              <w:tc>
                <w:tcPr>
                  <w:tcW w:w="709" w:type="dxa"/>
                  <w:tcBorders>
                    <w:top w:val="nil"/>
                    <w:left w:val="nil"/>
                    <w:bottom w:val="nil"/>
                    <w:right w:val="nil"/>
                  </w:tcBorders>
                  <w:shd w:val="clear" w:color="000000" w:fill="DDEBF7"/>
                  <w:noWrap/>
                  <w:vAlign w:val="center"/>
                </w:tcPr>
                <w:p w14:paraId="23FDF28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65.52 </w:t>
                  </w:r>
                </w:p>
              </w:tc>
              <w:tc>
                <w:tcPr>
                  <w:tcW w:w="926" w:type="dxa"/>
                  <w:tcBorders>
                    <w:top w:val="nil"/>
                    <w:left w:val="nil"/>
                    <w:bottom w:val="nil"/>
                    <w:right w:val="nil"/>
                  </w:tcBorders>
                  <w:shd w:val="clear" w:color="000000" w:fill="FDDCD5"/>
                  <w:noWrap/>
                  <w:vAlign w:val="center"/>
                </w:tcPr>
                <w:p w14:paraId="604E40B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1.81 </w:t>
                  </w:r>
                </w:p>
              </w:tc>
              <w:tc>
                <w:tcPr>
                  <w:tcW w:w="998" w:type="dxa"/>
                  <w:tcBorders>
                    <w:top w:val="nil"/>
                    <w:left w:val="nil"/>
                    <w:bottom w:val="nil"/>
                    <w:right w:val="nil"/>
                  </w:tcBorders>
                  <w:shd w:val="clear" w:color="000000" w:fill="E2EFDA"/>
                  <w:noWrap/>
                  <w:vAlign w:val="center"/>
                </w:tcPr>
                <w:p w14:paraId="3516A41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-0.33 </w:t>
                  </w:r>
                </w:p>
              </w:tc>
              <w:tc>
                <w:tcPr>
                  <w:tcW w:w="992" w:type="dxa"/>
                  <w:tcBorders>
                    <w:top w:val="nil"/>
                    <w:left w:val="nil"/>
                    <w:bottom w:val="nil"/>
                    <w:right w:val="nil"/>
                  </w:tcBorders>
                  <w:shd w:val="clear" w:color="000000" w:fill="FDDCD5"/>
                  <w:noWrap/>
                  <w:vAlign w:val="center"/>
                </w:tcPr>
                <w:p w14:paraId="40A21C3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11.33 </w:t>
                  </w:r>
                </w:p>
              </w:tc>
              <w:tc>
                <w:tcPr>
                  <w:tcW w:w="992" w:type="dxa"/>
                  <w:tcBorders>
                    <w:top w:val="nil"/>
                    <w:left w:val="nil"/>
                    <w:bottom w:val="nil"/>
                    <w:right w:val="nil"/>
                  </w:tcBorders>
                  <w:shd w:val="clear" w:color="000000" w:fill="E2EFDA"/>
                  <w:noWrap/>
                  <w:vAlign w:val="center"/>
                </w:tcPr>
                <w:p w14:paraId="2621283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-25.39 </w:t>
                  </w:r>
                </w:p>
              </w:tc>
              <w:tc>
                <w:tcPr>
                  <w:tcW w:w="1701" w:type="dxa"/>
                  <w:tcBorders>
                    <w:top w:val="nil"/>
                    <w:left w:val="nil"/>
                    <w:bottom w:val="nil"/>
                    <w:right w:val="nil"/>
                  </w:tcBorders>
                  <w:shd w:val="clear" w:color="auto" w:fill="auto"/>
                  <w:noWrap/>
                  <w:vAlign w:val="center"/>
                </w:tcPr>
                <w:p w14:paraId="6111D08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423BE943" w14:textId="77777777" w:rsidTr="00883778">
              <w:trPr>
                <w:trHeight w:val="330"/>
              </w:trPr>
              <w:tc>
                <w:tcPr>
                  <w:tcW w:w="597" w:type="dxa"/>
                  <w:vMerge/>
                  <w:tcBorders>
                    <w:top w:val="single" w:sz="4" w:space="0" w:color="C0504D"/>
                    <w:left w:val="nil"/>
                    <w:bottom w:val="single" w:sz="4" w:space="0" w:color="000000"/>
                    <w:right w:val="nil"/>
                  </w:tcBorders>
                  <w:vAlign w:val="center"/>
                </w:tcPr>
                <w:p w14:paraId="12325416" w14:textId="77777777" w:rsidR="004905C9" w:rsidRPr="00D85A79" w:rsidRDefault="004905C9" w:rsidP="00883778">
                  <w:pPr>
                    <w:widowControl/>
                    <w:jc w:val="left"/>
                    <w:rPr>
                      <w:rFonts w:eastAsia="等线" w:cs="Arial"/>
                      <w:color w:val="000000"/>
                      <w:kern w:val="0"/>
                      <w:sz w:val="16"/>
                      <w:szCs w:val="16"/>
                    </w:rPr>
                  </w:pPr>
                </w:p>
              </w:tc>
              <w:tc>
                <w:tcPr>
                  <w:tcW w:w="3266" w:type="dxa"/>
                  <w:tcBorders>
                    <w:top w:val="nil"/>
                    <w:left w:val="nil"/>
                    <w:bottom w:val="nil"/>
                    <w:right w:val="nil"/>
                  </w:tcBorders>
                  <w:shd w:val="clear" w:color="auto" w:fill="auto"/>
                  <w:noWrap/>
                  <w:vAlign w:val="center"/>
                </w:tcPr>
                <w:p w14:paraId="2FD0935B"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开工率</w:t>
                  </w:r>
                  <w:r>
                    <w:rPr>
                      <w:rFonts w:eastAsia="华文楷体" w:cs="Arial"/>
                      <w:color w:val="000000"/>
                      <w:sz w:val="16"/>
                      <w:szCs w:val="16"/>
                    </w:rPr>
                    <w:t>:PX:</w:t>
                  </w:r>
                  <w:r>
                    <w:rPr>
                      <w:rFonts w:ascii="华文楷体" w:eastAsia="华文楷体" w:hAnsi="华文楷体" w:hint="eastAsia"/>
                      <w:color w:val="000000"/>
                      <w:sz w:val="16"/>
                      <w:szCs w:val="16"/>
                    </w:rPr>
                    <w:t>国内</w:t>
                  </w:r>
                  <w:r>
                    <w:rPr>
                      <w:rFonts w:eastAsia="华文楷体" w:cs="Arial"/>
                      <w:color w:val="000000"/>
                      <w:sz w:val="16"/>
                      <w:szCs w:val="16"/>
                    </w:rPr>
                    <w:t>:</w:t>
                  </w:r>
                  <w:r>
                    <w:rPr>
                      <w:rFonts w:ascii="华文楷体" w:eastAsia="华文楷体" w:hAnsi="华文楷体" w:hint="eastAsia"/>
                      <w:color w:val="000000"/>
                      <w:sz w:val="16"/>
                      <w:szCs w:val="16"/>
                    </w:rPr>
                    <w:t>周（</w:t>
                  </w:r>
                  <w:r>
                    <w:rPr>
                      <w:rFonts w:eastAsia="华文楷体" w:cs="Arial"/>
                      <w:color w:val="000000"/>
                      <w:sz w:val="16"/>
                      <w:szCs w:val="16"/>
                    </w:rPr>
                    <w:t>%</w:t>
                  </w:r>
                  <w:r>
                    <w:rPr>
                      <w:rFonts w:ascii="华文楷体" w:eastAsia="华文楷体" w:hAnsi="华文楷体" w:hint="eastAsia"/>
                      <w:color w:val="000000"/>
                      <w:sz w:val="16"/>
                      <w:szCs w:val="16"/>
                    </w:rPr>
                    <w:t>）</w:t>
                  </w:r>
                </w:p>
              </w:tc>
              <w:tc>
                <w:tcPr>
                  <w:tcW w:w="709" w:type="dxa"/>
                  <w:tcBorders>
                    <w:top w:val="nil"/>
                    <w:left w:val="nil"/>
                    <w:bottom w:val="nil"/>
                    <w:right w:val="nil"/>
                  </w:tcBorders>
                  <w:shd w:val="clear" w:color="000000" w:fill="DDEBF7"/>
                  <w:noWrap/>
                  <w:vAlign w:val="center"/>
                </w:tcPr>
                <w:p w14:paraId="6FB1C8D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78.13 </w:t>
                  </w:r>
                </w:p>
              </w:tc>
              <w:tc>
                <w:tcPr>
                  <w:tcW w:w="926" w:type="dxa"/>
                  <w:tcBorders>
                    <w:top w:val="nil"/>
                    <w:left w:val="nil"/>
                    <w:bottom w:val="nil"/>
                    <w:right w:val="nil"/>
                  </w:tcBorders>
                  <w:shd w:val="clear" w:color="000000" w:fill="E2EFDA"/>
                  <w:noWrap/>
                  <w:vAlign w:val="center"/>
                </w:tcPr>
                <w:p w14:paraId="12730EE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-0.51 </w:t>
                  </w:r>
                </w:p>
              </w:tc>
              <w:tc>
                <w:tcPr>
                  <w:tcW w:w="998" w:type="dxa"/>
                  <w:tcBorders>
                    <w:top w:val="nil"/>
                    <w:left w:val="nil"/>
                    <w:bottom w:val="nil"/>
                    <w:right w:val="nil"/>
                  </w:tcBorders>
                  <w:shd w:val="clear" w:color="auto" w:fill="auto"/>
                  <w:noWrap/>
                  <w:vAlign w:val="center"/>
                </w:tcPr>
                <w:p w14:paraId="630FF80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0.00 </w:t>
                  </w:r>
                </w:p>
              </w:tc>
              <w:tc>
                <w:tcPr>
                  <w:tcW w:w="992" w:type="dxa"/>
                  <w:tcBorders>
                    <w:top w:val="nil"/>
                    <w:left w:val="nil"/>
                    <w:bottom w:val="nil"/>
                    <w:right w:val="nil"/>
                  </w:tcBorders>
                  <w:shd w:val="clear" w:color="000000" w:fill="E2EFDA"/>
                  <w:noWrap/>
                  <w:vAlign w:val="center"/>
                </w:tcPr>
                <w:p w14:paraId="76AA25C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-10.53 </w:t>
                  </w:r>
                </w:p>
              </w:tc>
              <w:tc>
                <w:tcPr>
                  <w:tcW w:w="992" w:type="dxa"/>
                  <w:tcBorders>
                    <w:top w:val="nil"/>
                    <w:left w:val="nil"/>
                    <w:bottom w:val="nil"/>
                    <w:right w:val="nil"/>
                  </w:tcBorders>
                  <w:shd w:val="clear" w:color="000000" w:fill="E2EFDA"/>
                  <w:noWrap/>
                  <w:vAlign w:val="center"/>
                </w:tcPr>
                <w:p w14:paraId="78779D2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-2.72 </w:t>
                  </w:r>
                </w:p>
              </w:tc>
              <w:tc>
                <w:tcPr>
                  <w:tcW w:w="1701" w:type="dxa"/>
                  <w:tcBorders>
                    <w:top w:val="nil"/>
                    <w:left w:val="nil"/>
                    <w:bottom w:val="nil"/>
                    <w:right w:val="nil"/>
                  </w:tcBorders>
                  <w:shd w:val="clear" w:color="auto" w:fill="auto"/>
                  <w:noWrap/>
                  <w:vAlign w:val="center"/>
                </w:tcPr>
                <w:p w14:paraId="1FD4CFF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2021-08-19</w:t>
                  </w:r>
                </w:p>
              </w:tc>
            </w:tr>
            <w:tr w:rsidR="004905C9" w:rsidRPr="00D85A79" w14:paraId="539C21DB" w14:textId="77777777" w:rsidTr="00883778">
              <w:trPr>
                <w:trHeight w:val="330"/>
              </w:trPr>
              <w:tc>
                <w:tcPr>
                  <w:tcW w:w="597" w:type="dxa"/>
                  <w:vMerge/>
                  <w:tcBorders>
                    <w:top w:val="single" w:sz="4" w:space="0" w:color="C0504D"/>
                    <w:left w:val="nil"/>
                    <w:bottom w:val="single" w:sz="4" w:space="0" w:color="000000"/>
                    <w:right w:val="nil"/>
                  </w:tcBorders>
                  <w:vAlign w:val="center"/>
                </w:tcPr>
                <w:p w14:paraId="0F708CB4" w14:textId="77777777" w:rsidR="004905C9" w:rsidRPr="00D85A79" w:rsidRDefault="004905C9" w:rsidP="00883778">
                  <w:pPr>
                    <w:widowControl/>
                    <w:jc w:val="left"/>
                    <w:rPr>
                      <w:rFonts w:eastAsia="等线" w:cs="Arial"/>
                      <w:color w:val="000000"/>
                      <w:kern w:val="0"/>
                      <w:sz w:val="16"/>
                      <w:szCs w:val="16"/>
                    </w:rPr>
                  </w:pPr>
                </w:p>
              </w:tc>
              <w:tc>
                <w:tcPr>
                  <w:tcW w:w="3266" w:type="dxa"/>
                  <w:tcBorders>
                    <w:top w:val="nil"/>
                    <w:left w:val="nil"/>
                    <w:bottom w:val="nil"/>
                    <w:right w:val="nil"/>
                  </w:tcBorders>
                  <w:shd w:val="clear" w:color="auto" w:fill="auto"/>
                  <w:noWrap/>
                  <w:vAlign w:val="center"/>
                </w:tcPr>
                <w:p w14:paraId="6BD2954D"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开工率</w:t>
                  </w:r>
                  <w:r>
                    <w:rPr>
                      <w:rFonts w:eastAsia="华文楷体" w:cs="Arial"/>
                      <w:color w:val="000000"/>
                      <w:sz w:val="16"/>
                      <w:szCs w:val="16"/>
                    </w:rPr>
                    <w:t>:PTA:</w:t>
                  </w:r>
                  <w:r>
                    <w:rPr>
                      <w:rFonts w:ascii="华文楷体" w:eastAsia="华文楷体" w:hAnsi="华文楷体" w:hint="eastAsia"/>
                      <w:color w:val="000000"/>
                      <w:sz w:val="16"/>
                      <w:szCs w:val="16"/>
                    </w:rPr>
                    <w:t>国内</w:t>
                  </w:r>
                  <w:r>
                    <w:rPr>
                      <w:rFonts w:eastAsia="华文楷体" w:cs="Arial"/>
                      <w:color w:val="000000"/>
                      <w:sz w:val="16"/>
                      <w:szCs w:val="16"/>
                    </w:rPr>
                    <w:t>:</w:t>
                  </w:r>
                  <w:r>
                    <w:rPr>
                      <w:rFonts w:ascii="华文楷体" w:eastAsia="华文楷体" w:hAnsi="华文楷体" w:hint="eastAsia"/>
                      <w:color w:val="000000"/>
                      <w:sz w:val="16"/>
                      <w:szCs w:val="16"/>
                    </w:rPr>
                    <w:t>周（</w:t>
                  </w:r>
                  <w:r>
                    <w:rPr>
                      <w:rFonts w:eastAsia="华文楷体" w:cs="Arial"/>
                      <w:color w:val="000000"/>
                      <w:sz w:val="16"/>
                      <w:szCs w:val="16"/>
                    </w:rPr>
                    <w:t>%</w:t>
                  </w:r>
                  <w:r>
                    <w:rPr>
                      <w:rFonts w:ascii="华文楷体" w:eastAsia="华文楷体" w:hAnsi="华文楷体" w:hint="eastAsia"/>
                      <w:color w:val="000000"/>
                      <w:sz w:val="16"/>
                      <w:szCs w:val="16"/>
                    </w:rPr>
                    <w:t>）</w:t>
                  </w:r>
                </w:p>
              </w:tc>
              <w:tc>
                <w:tcPr>
                  <w:tcW w:w="709" w:type="dxa"/>
                  <w:tcBorders>
                    <w:top w:val="nil"/>
                    <w:left w:val="nil"/>
                    <w:bottom w:val="nil"/>
                    <w:right w:val="nil"/>
                  </w:tcBorders>
                  <w:shd w:val="clear" w:color="000000" w:fill="DDEBF7"/>
                  <w:noWrap/>
                  <w:vAlign w:val="center"/>
                </w:tcPr>
                <w:p w14:paraId="08B6A8D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76.52 </w:t>
                  </w:r>
                </w:p>
              </w:tc>
              <w:tc>
                <w:tcPr>
                  <w:tcW w:w="926" w:type="dxa"/>
                  <w:tcBorders>
                    <w:top w:val="nil"/>
                    <w:left w:val="nil"/>
                    <w:bottom w:val="nil"/>
                    <w:right w:val="nil"/>
                  </w:tcBorders>
                  <w:shd w:val="clear" w:color="000000" w:fill="FDDCD5"/>
                  <w:noWrap/>
                  <w:vAlign w:val="center"/>
                </w:tcPr>
                <w:p w14:paraId="6278930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3.52 </w:t>
                  </w:r>
                </w:p>
              </w:tc>
              <w:tc>
                <w:tcPr>
                  <w:tcW w:w="998" w:type="dxa"/>
                  <w:tcBorders>
                    <w:top w:val="nil"/>
                    <w:left w:val="nil"/>
                    <w:bottom w:val="nil"/>
                    <w:right w:val="nil"/>
                  </w:tcBorders>
                  <w:shd w:val="clear" w:color="000000" w:fill="FDDCD5"/>
                  <w:noWrap/>
                  <w:vAlign w:val="center"/>
                </w:tcPr>
                <w:p w14:paraId="46AD5998"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2.03 </w:t>
                  </w:r>
                </w:p>
              </w:tc>
              <w:tc>
                <w:tcPr>
                  <w:tcW w:w="992" w:type="dxa"/>
                  <w:tcBorders>
                    <w:top w:val="nil"/>
                    <w:left w:val="nil"/>
                    <w:bottom w:val="nil"/>
                    <w:right w:val="nil"/>
                  </w:tcBorders>
                  <w:shd w:val="clear" w:color="000000" w:fill="E2EFDA"/>
                  <w:noWrap/>
                  <w:vAlign w:val="center"/>
                </w:tcPr>
                <w:p w14:paraId="0353053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-6.02 </w:t>
                  </w:r>
                </w:p>
              </w:tc>
              <w:tc>
                <w:tcPr>
                  <w:tcW w:w="992" w:type="dxa"/>
                  <w:tcBorders>
                    <w:top w:val="nil"/>
                    <w:left w:val="nil"/>
                    <w:bottom w:val="nil"/>
                    <w:right w:val="nil"/>
                  </w:tcBorders>
                  <w:shd w:val="clear" w:color="000000" w:fill="E2EFDA"/>
                  <w:noWrap/>
                  <w:vAlign w:val="center"/>
                </w:tcPr>
                <w:p w14:paraId="22FB150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-10.85 </w:t>
                  </w:r>
                </w:p>
              </w:tc>
              <w:tc>
                <w:tcPr>
                  <w:tcW w:w="1701" w:type="dxa"/>
                  <w:tcBorders>
                    <w:top w:val="nil"/>
                    <w:left w:val="nil"/>
                    <w:bottom w:val="nil"/>
                    <w:right w:val="nil"/>
                  </w:tcBorders>
                  <w:shd w:val="clear" w:color="auto" w:fill="auto"/>
                  <w:noWrap/>
                  <w:vAlign w:val="center"/>
                </w:tcPr>
                <w:p w14:paraId="15615F9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2021-08-19</w:t>
                  </w:r>
                </w:p>
              </w:tc>
            </w:tr>
            <w:tr w:rsidR="004905C9" w:rsidRPr="00D85A79" w14:paraId="7BBAD39F" w14:textId="77777777" w:rsidTr="00883778">
              <w:trPr>
                <w:trHeight w:val="330"/>
              </w:trPr>
              <w:tc>
                <w:tcPr>
                  <w:tcW w:w="597" w:type="dxa"/>
                  <w:vMerge/>
                  <w:tcBorders>
                    <w:top w:val="single" w:sz="4" w:space="0" w:color="C0504D"/>
                    <w:left w:val="nil"/>
                    <w:bottom w:val="single" w:sz="4" w:space="0" w:color="000000"/>
                    <w:right w:val="nil"/>
                  </w:tcBorders>
                  <w:vAlign w:val="center"/>
                </w:tcPr>
                <w:p w14:paraId="27CBA2C8" w14:textId="77777777" w:rsidR="004905C9" w:rsidRPr="00D85A79" w:rsidRDefault="004905C9" w:rsidP="00883778">
                  <w:pPr>
                    <w:widowControl/>
                    <w:jc w:val="left"/>
                    <w:rPr>
                      <w:rFonts w:eastAsia="等线" w:cs="Arial"/>
                      <w:color w:val="000000"/>
                      <w:kern w:val="0"/>
                      <w:sz w:val="16"/>
                      <w:szCs w:val="16"/>
                    </w:rPr>
                  </w:pPr>
                </w:p>
              </w:tc>
              <w:tc>
                <w:tcPr>
                  <w:tcW w:w="3266" w:type="dxa"/>
                  <w:tcBorders>
                    <w:top w:val="nil"/>
                    <w:left w:val="nil"/>
                    <w:bottom w:val="nil"/>
                    <w:right w:val="nil"/>
                  </w:tcBorders>
                  <w:shd w:val="clear" w:color="auto" w:fill="auto"/>
                  <w:noWrap/>
                  <w:vAlign w:val="center"/>
                </w:tcPr>
                <w:p w14:paraId="4A308C6D"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汽车轮胎开工率:全钢胎（%）</w:t>
                  </w:r>
                </w:p>
              </w:tc>
              <w:tc>
                <w:tcPr>
                  <w:tcW w:w="709" w:type="dxa"/>
                  <w:tcBorders>
                    <w:top w:val="nil"/>
                    <w:left w:val="nil"/>
                    <w:bottom w:val="nil"/>
                    <w:right w:val="nil"/>
                  </w:tcBorders>
                  <w:shd w:val="clear" w:color="000000" w:fill="DDEBF7"/>
                  <w:noWrap/>
                  <w:vAlign w:val="center"/>
                </w:tcPr>
                <w:p w14:paraId="43880D2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61.33 </w:t>
                  </w:r>
                </w:p>
              </w:tc>
              <w:tc>
                <w:tcPr>
                  <w:tcW w:w="926" w:type="dxa"/>
                  <w:tcBorders>
                    <w:top w:val="nil"/>
                    <w:left w:val="nil"/>
                    <w:bottom w:val="nil"/>
                    <w:right w:val="nil"/>
                  </w:tcBorders>
                  <w:shd w:val="clear" w:color="000000" w:fill="E2EFDA"/>
                  <w:noWrap/>
                  <w:vAlign w:val="center"/>
                </w:tcPr>
                <w:p w14:paraId="556DB66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-2.52 </w:t>
                  </w:r>
                </w:p>
              </w:tc>
              <w:tc>
                <w:tcPr>
                  <w:tcW w:w="998" w:type="dxa"/>
                  <w:tcBorders>
                    <w:top w:val="nil"/>
                    <w:left w:val="nil"/>
                    <w:bottom w:val="nil"/>
                    <w:right w:val="nil"/>
                  </w:tcBorders>
                  <w:shd w:val="clear" w:color="000000" w:fill="FDDCD5"/>
                  <w:noWrap/>
                  <w:vAlign w:val="center"/>
                </w:tcPr>
                <w:p w14:paraId="6CFABB4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1.17 </w:t>
                  </w:r>
                </w:p>
              </w:tc>
              <w:tc>
                <w:tcPr>
                  <w:tcW w:w="992" w:type="dxa"/>
                  <w:tcBorders>
                    <w:top w:val="nil"/>
                    <w:left w:val="nil"/>
                    <w:bottom w:val="nil"/>
                    <w:right w:val="nil"/>
                  </w:tcBorders>
                  <w:shd w:val="clear" w:color="000000" w:fill="FDDCD5"/>
                  <w:noWrap/>
                  <w:vAlign w:val="center"/>
                </w:tcPr>
                <w:p w14:paraId="69F0297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13.34 </w:t>
                  </w:r>
                </w:p>
              </w:tc>
              <w:tc>
                <w:tcPr>
                  <w:tcW w:w="992" w:type="dxa"/>
                  <w:tcBorders>
                    <w:top w:val="nil"/>
                    <w:left w:val="nil"/>
                    <w:bottom w:val="nil"/>
                    <w:right w:val="nil"/>
                  </w:tcBorders>
                  <w:shd w:val="clear" w:color="000000" w:fill="E2EFDA"/>
                  <w:noWrap/>
                  <w:vAlign w:val="center"/>
                </w:tcPr>
                <w:p w14:paraId="3D730EB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-11.38 </w:t>
                  </w:r>
                </w:p>
              </w:tc>
              <w:tc>
                <w:tcPr>
                  <w:tcW w:w="1701" w:type="dxa"/>
                  <w:tcBorders>
                    <w:top w:val="nil"/>
                    <w:left w:val="nil"/>
                    <w:bottom w:val="nil"/>
                    <w:right w:val="nil"/>
                  </w:tcBorders>
                  <w:shd w:val="clear" w:color="auto" w:fill="auto"/>
                  <w:noWrap/>
                  <w:vAlign w:val="center"/>
                </w:tcPr>
                <w:p w14:paraId="0207AE6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2021-08-19</w:t>
                  </w:r>
                </w:p>
              </w:tc>
            </w:tr>
            <w:tr w:rsidR="004905C9" w:rsidRPr="00D85A79" w14:paraId="0E2270B7" w14:textId="77777777" w:rsidTr="00C23684">
              <w:trPr>
                <w:trHeight w:val="330"/>
              </w:trPr>
              <w:tc>
                <w:tcPr>
                  <w:tcW w:w="597" w:type="dxa"/>
                  <w:vMerge/>
                  <w:tcBorders>
                    <w:top w:val="single" w:sz="4" w:space="0" w:color="C0504D"/>
                    <w:left w:val="nil"/>
                    <w:bottom w:val="single" w:sz="4" w:space="0" w:color="000000"/>
                    <w:right w:val="nil"/>
                  </w:tcBorders>
                  <w:vAlign w:val="center"/>
                </w:tcPr>
                <w:p w14:paraId="49558708" w14:textId="77777777" w:rsidR="004905C9" w:rsidRPr="00D85A79" w:rsidRDefault="004905C9" w:rsidP="00883778">
                  <w:pPr>
                    <w:widowControl/>
                    <w:jc w:val="left"/>
                    <w:rPr>
                      <w:rFonts w:eastAsia="等线" w:cs="Arial"/>
                      <w:color w:val="000000"/>
                      <w:kern w:val="0"/>
                      <w:sz w:val="16"/>
                      <w:szCs w:val="16"/>
                    </w:rPr>
                  </w:pPr>
                </w:p>
              </w:tc>
              <w:tc>
                <w:tcPr>
                  <w:tcW w:w="3266" w:type="dxa"/>
                  <w:tcBorders>
                    <w:top w:val="nil"/>
                    <w:left w:val="nil"/>
                    <w:bottom w:val="nil"/>
                    <w:right w:val="nil"/>
                  </w:tcBorders>
                  <w:shd w:val="clear" w:color="auto" w:fill="auto"/>
                  <w:noWrap/>
                  <w:vAlign w:val="center"/>
                </w:tcPr>
                <w:p w14:paraId="712A09A8"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汽车轮胎开工率</w:t>
                  </w:r>
                  <w:r>
                    <w:rPr>
                      <w:rFonts w:eastAsia="华文楷体" w:cs="Arial"/>
                      <w:color w:val="000000"/>
                      <w:sz w:val="16"/>
                      <w:szCs w:val="16"/>
                    </w:rPr>
                    <w:t>:</w:t>
                  </w:r>
                  <w:r>
                    <w:rPr>
                      <w:rFonts w:ascii="华文楷体" w:eastAsia="华文楷体" w:hAnsi="华文楷体" w:hint="eastAsia"/>
                      <w:color w:val="000000"/>
                      <w:sz w:val="16"/>
                      <w:szCs w:val="16"/>
                    </w:rPr>
                    <w:t>半钢胎（</w:t>
                  </w:r>
                  <w:r>
                    <w:rPr>
                      <w:rFonts w:eastAsia="华文楷体" w:cs="Arial"/>
                      <w:color w:val="000000"/>
                      <w:sz w:val="16"/>
                      <w:szCs w:val="16"/>
                    </w:rPr>
                    <w:t>%</w:t>
                  </w:r>
                  <w:r>
                    <w:rPr>
                      <w:rFonts w:ascii="华文楷体" w:eastAsia="华文楷体" w:hAnsi="华文楷体" w:hint="eastAsia"/>
                      <w:color w:val="000000"/>
                      <w:sz w:val="16"/>
                      <w:szCs w:val="16"/>
                    </w:rPr>
                    <w:t>）</w:t>
                  </w:r>
                </w:p>
              </w:tc>
              <w:tc>
                <w:tcPr>
                  <w:tcW w:w="709" w:type="dxa"/>
                  <w:tcBorders>
                    <w:top w:val="nil"/>
                    <w:left w:val="nil"/>
                    <w:bottom w:val="nil"/>
                    <w:right w:val="nil"/>
                  </w:tcBorders>
                  <w:shd w:val="clear" w:color="000000" w:fill="DDEBF7"/>
                  <w:noWrap/>
                  <w:vAlign w:val="center"/>
                </w:tcPr>
                <w:p w14:paraId="74C1645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57.29 </w:t>
                  </w:r>
                </w:p>
              </w:tc>
              <w:tc>
                <w:tcPr>
                  <w:tcW w:w="926" w:type="dxa"/>
                  <w:tcBorders>
                    <w:top w:val="nil"/>
                    <w:left w:val="nil"/>
                    <w:bottom w:val="nil"/>
                    <w:right w:val="nil"/>
                  </w:tcBorders>
                  <w:shd w:val="clear" w:color="000000" w:fill="E2EFDA"/>
                  <w:noWrap/>
                  <w:vAlign w:val="center"/>
                </w:tcPr>
                <w:p w14:paraId="3A34718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-2.91 </w:t>
                  </w:r>
                </w:p>
              </w:tc>
              <w:tc>
                <w:tcPr>
                  <w:tcW w:w="998" w:type="dxa"/>
                  <w:tcBorders>
                    <w:top w:val="nil"/>
                    <w:left w:val="nil"/>
                    <w:bottom w:val="nil"/>
                    <w:right w:val="nil"/>
                  </w:tcBorders>
                  <w:shd w:val="clear" w:color="000000" w:fill="FDDCD5"/>
                  <w:noWrap/>
                  <w:vAlign w:val="center"/>
                </w:tcPr>
                <w:p w14:paraId="08F4C408"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0.78 </w:t>
                  </w:r>
                </w:p>
              </w:tc>
              <w:tc>
                <w:tcPr>
                  <w:tcW w:w="992" w:type="dxa"/>
                  <w:tcBorders>
                    <w:top w:val="nil"/>
                    <w:left w:val="nil"/>
                    <w:bottom w:val="nil"/>
                    <w:right w:val="nil"/>
                  </w:tcBorders>
                  <w:shd w:val="clear" w:color="000000" w:fill="FDDCD5"/>
                  <w:noWrap/>
                  <w:vAlign w:val="center"/>
                </w:tcPr>
                <w:p w14:paraId="311114E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10.60 </w:t>
                  </w:r>
                </w:p>
              </w:tc>
              <w:tc>
                <w:tcPr>
                  <w:tcW w:w="992" w:type="dxa"/>
                  <w:tcBorders>
                    <w:top w:val="nil"/>
                    <w:left w:val="nil"/>
                    <w:bottom w:val="nil"/>
                    <w:right w:val="nil"/>
                  </w:tcBorders>
                  <w:shd w:val="clear" w:color="000000" w:fill="E2EFDA"/>
                  <w:noWrap/>
                  <w:vAlign w:val="center"/>
                </w:tcPr>
                <w:p w14:paraId="775C1CB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-11.07 </w:t>
                  </w:r>
                </w:p>
              </w:tc>
              <w:tc>
                <w:tcPr>
                  <w:tcW w:w="1701" w:type="dxa"/>
                  <w:tcBorders>
                    <w:top w:val="nil"/>
                    <w:left w:val="nil"/>
                    <w:right w:val="nil"/>
                  </w:tcBorders>
                  <w:shd w:val="clear" w:color="auto" w:fill="auto"/>
                  <w:noWrap/>
                  <w:vAlign w:val="center"/>
                </w:tcPr>
                <w:p w14:paraId="23C66BC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2021-08-19</w:t>
                  </w:r>
                </w:p>
              </w:tc>
            </w:tr>
            <w:tr w:rsidR="004905C9" w:rsidRPr="00D85A79" w14:paraId="13C8C4F0" w14:textId="77777777" w:rsidTr="00C23684">
              <w:trPr>
                <w:trHeight w:val="330"/>
              </w:trPr>
              <w:tc>
                <w:tcPr>
                  <w:tcW w:w="597" w:type="dxa"/>
                  <w:vMerge/>
                  <w:tcBorders>
                    <w:top w:val="single" w:sz="4" w:space="0" w:color="C0504D"/>
                    <w:left w:val="nil"/>
                    <w:bottom w:val="single" w:sz="4" w:space="0" w:color="auto"/>
                    <w:right w:val="nil"/>
                  </w:tcBorders>
                  <w:vAlign w:val="center"/>
                </w:tcPr>
                <w:p w14:paraId="5A4ADCC5" w14:textId="77777777" w:rsidR="004905C9" w:rsidRPr="00D85A79" w:rsidRDefault="004905C9" w:rsidP="00883778">
                  <w:pPr>
                    <w:widowControl/>
                    <w:jc w:val="left"/>
                    <w:rPr>
                      <w:rFonts w:eastAsia="等线" w:cs="Arial"/>
                      <w:color w:val="000000"/>
                      <w:kern w:val="0"/>
                      <w:sz w:val="16"/>
                      <w:szCs w:val="16"/>
                    </w:rPr>
                  </w:pPr>
                </w:p>
              </w:tc>
              <w:tc>
                <w:tcPr>
                  <w:tcW w:w="3266" w:type="dxa"/>
                  <w:tcBorders>
                    <w:top w:val="nil"/>
                    <w:left w:val="nil"/>
                    <w:bottom w:val="single" w:sz="4" w:space="0" w:color="auto"/>
                    <w:right w:val="nil"/>
                  </w:tcBorders>
                  <w:shd w:val="clear" w:color="auto" w:fill="auto"/>
                  <w:noWrap/>
                  <w:vAlign w:val="center"/>
                </w:tcPr>
                <w:p w14:paraId="05044591"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开工率</w:t>
                  </w:r>
                  <w:r>
                    <w:rPr>
                      <w:rFonts w:eastAsia="华文楷体" w:cs="Arial"/>
                      <w:color w:val="000000"/>
                      <w:sz w:val="16"/>
                      <w:szCs w:val="16"/>
                    </w:rPr>
                    <w:t>:</w:t>
                  </w:r>
                  <w:r>
                    <w:rPr>
                      <w:rFonts w:ascii="华文楷体" w:eastAsia="华文楷体" w:hAnsi="华文楷体" w:hint="eastAsia"/>
                      <w:color w:val="000000"/>
                      <w:sz w:val="16"/>
                      <w:szCs w:val="16"/>
                    </w:rPr>
                    <w:t>涤纶长丝</w:t>
                  </w:r>
                  <w:r>
                    <w:rPr>
                      <w:rFonts w:eastAsia="华文楷体" w:cs="Arial"/>
                      <w:color w:val="000000"/>
                      <w:sz w:val="16"/>
                      <w:szCs w:val="16"/>
                    </w:rPr>
                    <w:t>:</w:t>
                  </w:r>
                  <w:r>
                    <w:rPr>
                      <w:rFonts w:ascii="华文楷体" w:eastAsia="华文楷体" w:hAnsi="华文楷体" w:hint="eastAsia"/>
                      <w:color w:val="000000"/>
                      <w:sz w:val="16"/>
                      <w:szCs w:val="16"/>
                    </w:rPr>
                    <w:t>江浙地区（</w:t>
                  </w:r>
                  <w:r>
                    <w:rPr>
                      <w:rFonts w:eastAsia="华文楷体" w:cs="Arial"/>
                      <w:color w:val="000000"/>
                      <w:sz w:val="16"/>
                      <w:szCs w:val="16"/>
                    </w:rPr>
                    <w:t>%</w:t>
                  </w:r>
                  <w:r>
                    <w:rPr>
                      <w:rFonts w:ascii="华文楷体" w:eastAsia="华文楷体" w:hAnsi="华文楷体" w:hint="eastAsia"/>
                      <w:color w:val="000000"/>
                      <w:sz w:val="16"/>
                      <w:szCs w:val="16"/>
                    </w:rPr>
                    <w:t>）</w:t>
                  </w:r>
                </w:p>
              </w:tc>
              <w:tc>
                <w:tcPr>
                  <w:tcW w:w="709" w:type="dxa"/>
                  <w:tcBorders>
                    <w:top w:val="nil"/>
                    <w:left w:val="nil"/>
                    <w:bottom w:val="single" w:sz="4" w:space="0" w:color="auto"/>
                    <w:right w:val="nil"/>
                  </w:tcBorders>
                  <w:shd w:val="clear" w:color="000000" w:fill="DDEBF7"/>
                  <w:noWrap/>
                  <w:vAlign w:val="center"/>
                </w:tcPr>
                <w:p w14:paraId="0FED708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96.15 </w:t>
                  </w:r>
                </w:p>
              </w:tc>
              <w:tc>
                <w:tcPr>
                  <w:tcW w:w="926" w:type="dxa"/>
                  <w:tcBorders>
                    <w:top w:val="nil"/>
                    <w:left w:val="nil"/>
                    <w:bottom w:val="single" w:sz="4" w:space="0" w:color="auto"/>
                    <w:right w:val="nil"/>
                  </w:tcBorders>
                  <w:shd w:val="clear" w:color="000000" w:fill="FDDCD5"/>
                  <w:noWrap/>
                  <w:vAlign w:val="center"/>
                </w:tcPr>
                <w:p w14:paraId="2303460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0.01 </w:t>
                  </w:r>
                </w:p>
              </w:tc>
              <w:tc>
                <w:tcPr>
                  <w:tcW w:w="998" w:type="dxa"/>
                  <w:tcBorders>
                    <w:top w:val="nil"/>
                    <w:left w:val="nil"/>
                    <w:bottom w:val="single" w:sz="4" w:space="0" w:color="auto"/>
                    <w:right w:val="nil"/>
                  </w:tcBorders>
                  <w:shd w:val="clear" w:color="000000" w:fill="FDDCD5"/>
                  <w:noWrap/>
                  <w:vAlign w:val="center"/>
                </w:tcPr>
                <w:p w14:paraId="4FA384D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5.00 </w:t>
                  </w:r>
                </w:p>
              </w:tc>
              <w:tc>
                <w:tcPr>
                  <w:tcW w:w="992" w:type="dxa"/>
                  <w:tcBorders>
                    <w:top w:val="nil"/>
                    <w:left w:val="nil"/>
                    <w:bottom w:val="single" w:sz="4" w:space="0" w:color="auto"/>
                    <w:right w:val="nil"/>
                  </w:tcBorders>
                  <w:shd w:val="clear" w:color="000000" w:fill="FDDCD5"/>
                  <w:noWrap/>
                  <w:vAlign w:val="center"/>
                </w:tcPr>
                <w:p w14:paraId="4F2B17D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1.57 </w:t>
                  </w:r>
                </w:p>
              </w:tc>
              <w:tc>
                <w:tcPr>
                  <w:tcW w:w="992" w:type="dxa"/>
                  <w:tcBorders>
                    <w:top w:val="nil"/>
                    <w:left w:val="nil"/>
                    <w:bottom w:val="single" w:sz="4" w:space="0" w:color="auto"/>
                    <w:right w:val="nil"/>
                  </w:tcBorders>
                  <w:shd w:val="clear" w:color="000000" w:fill="FDDCD5"/>
                  <w:noWrap/>
                  <w:vAlign w:val="center"/>
                </w:tcPr>
                <w:p w14:paraId="433DC19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8.86 </w:t>
                  </w:r>
                </w:p>
              </w:tc>
              <w:tc>
                <w:tcPr>
                  <w:tcW w:w="1701" w:type="dxa"/>
                  <w:tcBorders>
                    <w:top w:val="nil"/>
                    <w:left w:val="nil"/>
                    <w:bottom w:val="single" w:sz="4" w:space="0" w:color="auto"/>
                    <w:right w:val="nil"/>
                  </w:tcBorders>
                  <w:shd w:val="clear" w:color="000000" w:fill="FFFFFF"/>
                  <w:noWrap/>
                  <w:vAlign w:val="center"/>
                </w:tcPr>
                <w:p w14:paraId="3338595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2021-08-19</w:t>
                  </w:r>
                </w:p>
              </w:tc>
            </w:tr>
            <w:tr w:rsidR="004905C9" w:rsidRPr="00D85A79" w14:paraId="7FA9139A" w14:textId="77777777" w:rsidTr="00C23684">
              <w:trPr>
                <w:trHeight w:val="74"/>
              </w:trPr>
              <w:tc>
                <w:tcPr>
                  <w:tcW w:w="597" w:type="dxa"/>
                  <w:tcBorders>
                    <w:top w:val="single" w:sz="4" w:space="0" w:color="auto"/>
                    <w:left w:val="nil"/>
                    <w:right w:val="nil"/>
                  </w:tcBorders>
                  <w:shd w:val="clear" w:color="auto" w:fill="auto"/>
                  <w:vAlign w:val="center"/>
                </w:tcPr>
                <w:p w14:paraId="1837EC9A" w14:textId="77777777" w:rsidR="004905C9" w:rsidRPr="00C93D17" w:rsidRDefault="004905C9" w:rsidP="00883778">
                  <w:pPr>
                    <w:widowControl/>
                    <w:jc w:val="center"/>
                    <w:rPr>
                      <w:rFonts w:eastAsia="等线" w:cs="Arial"/>
                      <w:color w:val="000000"/>
                      <w:kern w:val="0"/>
                      <w:sz w:val="16"/>
                      <w:szCs w:val="16"/>
                      <w:highlight w:val="yellow"/>
                    </w:rPr>
                  </w:pPr>
                  <w:r>
                    <w:rPr>
                      <w:rFonts w:ascii="华文楷体" w:eastAsia="华文楷体" w:hAnsi="华文楷体" w:cs="Arial" w:hint="eastAsia"/>
                      <w:color w:val="000000"/>
                      <w:sz w:val="16"/>
                      <w:szCs w:val="16"/>
                    </w:rPr>
                    <w:t>产量</w:t>
                  </w:r>
                </w:p>
              </w:tc>
              <w:tc>
                <w:tcPr>
                  <w:tcW w:w="3266" w:type="dxa"/>
                  <w:tcBorders>
                    <w:top w:val="single" w:sz="4" w:space="0" w:color="auto"/>
                    <w:left w:val="nil"/>
                    <w:right w:val="nil"/>
                  </w:tcBorders>
                  <w:shd w:val="clear" w:color="000000" w:fill="FFFFFF"/>
                  <w:vAlign w:val="center"/>
                </w:tcPr>
                <w:p w14:paraId="347C9960" w14:textId="77777777" w:rsidR="004905C9" w:rsidRPr="00C93D17" w:rsidRDefault="004905C9" w:rsidP="00883778">
                  <w:pPr>
                    <w:widowControl/>
                    <w:jc w:val="center"/>
                    <w:rPr>
                      <w:rFonts w:ascii="华文楷体" w:eastAsia="华文楷体" w:hAnsi="华文楷体" w:cs="宋体"/>
                      <w:color w:val="000000"/>
                      <w:kern w:val="0"/>
                      <w:sz w:val="16"/>
                      <w:szCs w:val="16"/>
                      <w:highlight w:val="yellow"/>
                    </w:rPr>
                  </w:pPr>
                  <w:r>
                    <w:rPr>
                      <w:rFonts w:ascii="华文楷体" w:eastAsia="华文楷体" w:hAnsi="华文楷体" w:hint="eastAsia"/>
                      <w:color w:val="000000"/>
                      <w:sz w:val="16"/>
                      <w:szCs w:val="16"/>
                    </w:rPr>
                    <w:t>主要钢厂产量:螺纹钢:全国:当周值（万吨）</w:t>
                  </w:r>
                </w:p>
              </w:tc>
              <w:tc>
                <w:tcPr>
                  <w:tcW w:w="709" w:type="dxa"/>
                  <w:tcBorders>
                    <w:top w:val="single" w:sz="4" w:space="0" w:color="auto"/>
                    <w:left w:val="nil"/>
                    <w:bottom w:val="nil"/>
                    <w:right w:val="nil"/>
                  </w:tcBorders>
                  <w:shd w:val="clear" w:color="000000" w:fill="DDEBF7"/>
                  <w:noWrap/>
                  <w:vAlign w:val="center"/>
                </w:tcPr>
                <w:p w14:paraId="2B14D204" w14:textId="77777777" w:rsidR="004905C9" w:rsidRPr="00C93D17" w:rsidRDefault="004905C9" w:rsidP="00883778">
                  <w:pPr>
                    <w:widowControl/>
                    <w:jc w:val="center"/>
                    <w:rPr>
                      <w:rFonts w:eastAsia="等线" w:cs="Arial"/>
                      <w:color w:val="000000"/>
                      <w:kern w:val="0"/>
                      <w:sz w:val="16"/>
                      <w:szCs w:val="16"/>
                      <w:highlight w:val="yellow"/>
                    </w:rPr>
                  </w:pPr>
                  <w:r>
                    <w:rPr>
                      <w:rFonts w:eastAsia="等线" w:cs="Arial"/>
                      <w:color w:val="000000"/>
                      <w:sz w:val="16"/>
                      <w:szCs w:val="16"/>
                    </w:rPr>
                    <w:t xml:space="preserve">324.68 </w:t>
                  </w:r>
                </w:p>
              </w:tc>
              <w:tc>
                <w:tcPr>
                  <w:tcW w:w="926" w:type="dxa"/>
                  <w:tcBorders>
                    <w:top w:val="nil"/>
                    <w:left w:val="nil"/>
                    <w:bottom w:val="nil"/>
                    <w:right w:val="nil"/>
                  </w:tcBorders>
                  <w:shd w:val="clear" w:color="000000" w:fill="E2EFDA"/>
                  <w:noWrap/>
                  <w:vAlign w:val="center"/>
                </w:tcPr>
                <w:p w14:paraId="58C9AAA2" w14:textId="77777777" w:rsidR="004905C9" w:rsidRPr="00956262" w:rsidRDefault="004905C9" w:rsidP="00883778">
                  <w:pPr>
                    <w:widowControl/>
                    <w:jc w:val="center"/>
                    <w:rPr>
                      <w:rFonts w:eastAsia="等线" w:cs="Arial"/>
                      <w:color w:val="000000"/>
                      <w:sz w:val="16"/>
                      <w:szCs w:val="16"/>
                    </w:rPr>
                  </w:pPr>
                  <w:r>
                    <w:rPr>
                      <w:rFonts w:eastAsia="等线" w:cs="Arial"/>
                      <w:color w:val="000000"/>
                      <w:sz w:val="16"/>
                      <w:szCs w:val="16"/>
                    </w:rPr>
                    <w:t xml:space="preserve">1.12 </w:t>
                  </w:r>
                </w:p>
              </w:tc>
              <w:tc>
                <w:tcPr>
                  <w:tcW w:w="998" w:type="dxa"/>
                  <w:tcBorders>
                    <w:top w:val="nil"/>
                    <w:left w:val="nil"/>
                    <w:bottom w:val="nil"/>
                    <w:right w:val="nil"/>
                  </w:tcBorders>
                  <w:shd w:val="clear" w:color="000000" w:fill="FDDCD5"/>
                  <w:noWrap/>
                  <w:vAlign w:val="center"/>
                </w:tcPr>
                <w:p w14:paraId="4BA3F81F" w14:textId="77777777" w:rsidR="004905C9" w:rsidRPr="00C93D17" w:rsidRDefault="004905C9" w:rsidP="00883778">
                  <w:pPr>
                    <w:widowControl/>
                    <w:jc w:val="center"/>
                    <w:rPr>
                      <w:rFonts w:eastAsia="等线" w:cs="Arial"/>
                      <w:color w:val="000000"/>
                      <w:kern w:val="0"/>
                      <w:sz w:val="16"/>
                      <w:szCs w:val="16"/>
                      <w:highlight w:val="yellow"/>
                    </w:rPr>
                  </w:pPr>
                  <w:r>
                    <w:rPr>
                      <w:rFonts w:eastAsia="等线" w:cs="Arial"/>
                      <w:color w:val="000000"/>
                      <w:sz w:val="16"/>
                      <w:szCs w:val="16"/>
                    </w:rPr>
                    <w:t xml:space="preserve">0.97 </w:t>
                  </w:r>
                </w:p>
              </w:tc>
              <w:tc>
                <w:tcPr>
                  <w:tcW w:w="992" w:type="dxa"/>
                  <w:tcBorders>
                    <w:top w:val="nil"/>
                    <w:left w:val="nil"/>
                    <w:bottom w:val="nil"/>
                    <w:right w:val="nil"/>
                  </w:tcBorders>
                  <w:shd w:val="clear" w:color="000000" w:fill="E2EFDA"/>
                  <w:noWrap/>
                  <w:vAlign w:val="center"/>
                </w:tcPr>
                <w:p w14:paraId="6C728CFC" w14:textId="77777777" w:rsidR="004905C9" w:rsidRPr="00C93D17" w:rsidRDefault="004905C9" w:rsidP="00883778">
                  <w:pPr>
                    <w:widowControl/>
                    <w:jc w:val="center"/>
                    <w:rPr>
                      <w:rFonts w:eastAsia="等线" w:cs="Arial"/>
                      <w:color w:val="000000"/>
                      <w:kern w:val="0"/>
                      <w:sz w:val="16"/>
                      <w:szCs w:val="16"/>
                      <w:highlight w:val="yellow"/>
                    </w:rPr>
                  </w:pPr>
                  <w:r>
                    <w:rPr>
                      <w:rFonts w:eastAsia="等线" w:cs="Arial"/>
                      <w:color w:val="000000"/>
                      <w:sz w:val="16"/>
                      <w:szCs w:val="16"/>
                    </w:rPr>
                    <w:t xml:space="preserve">-8.37 </w:t>
                  </w:r>
                </w:p>
              </w:tc>
              <w:tc>
                <w:tcPr>
                  <w:tcW w:w="992" w:type="dxa"/>
                  <w:tcBorders>
                    <w:top w:val="nil"/>
                    <w:left w:val="nil"/>
                    <w:bottom w:val="nil"/>
                    <w:right w:val="nil"/>
                  </w:tcBorders>
                  <w:shd w:val="clear" w:color="000000" w:fill="E2EFDA"/>
                  <w:noWrap/>
                  <w:vAlign w:val="center"/>
                </w:tcPr>
                <w:p w14:paraId="01978395" w14:textId="77777777" w:rsidR="004905C9" w:rsidRPr="00C93D17" w:rsidRDefault="004905C9" w:rsidP="00883778">
                  <w:pPr>
                    <w:widowControl/>
                    <w:jc w:val="center"/>
                    <w:rPr>
                      <w:rFonts w:eastAsia="等线" w:cs="Arial"/>
                      <w:color w:val="000000"/>
                      <w:kern w:val="0"/>
                      <w:sz w:val="16"/>
                      <w:szCs w:val="16"/>
                      <w:highlight w:val="yellow"/>
                    </w:rPr>
                  </w:pPr>
                  <w:r>
                    <w:rPr>
                      <w:rFonts w:eastAsia="等线" w:cs="Arial"/>
                      <w:color w:val="000000"/>
                      <w:sz w:val="16"/>
                      <w:szCs w:val="16"/>
                    </w:rPr>
                    <w:t xml:space="preserve">-16.65 </w:t>
                  </w:r>
                </w:p>
              </w:tc>
              <w:tc>
                <w:tcPr>
                  <w:tcW w:w="1701" w:type="dxa"/>
                  <w:tcBorders>
                    <w:top w:val="single" w:sz="4" w:space="0" w:color="auto"/>
                    <w:left w:val="nil"/>
                    <w:bottom w:val="nil"/>
                    <w:right w:val="nil"/>
                  </w:tcBorders>
                  <w:shd w:val="clear" w:color="auto" w:fill="auto"/>
                  <w:noWrap/>
                  <w:vAlign w:val="center"/>
                </w:tcPr>
                <w:p w14:paraId="2C9F8B20" w14:textId="77777777" w:rsidR="004905C9" w:rsidRPr="00C93D17" w:rsidRDefault="004905C9" w:rsidP="00883778">
                  <w:pPr>
                    <w:widowControl/>
                    <w:jc w:val="center"/>
                    <w:rPr>
                      <w:rFonts w:eastAsia="等线" w:cs="Arial"/>
                      <w:color w:val="000000"/>
                      <w:kern w:val="0"/>
                      <w:sz w:val="16"/>
                      <w:szCs w:val="16"/>
                      <w:highlight w:val="yellow"/>
                    </w:rPr>
                  </w:pPr>
                  <w:r>
                    <w:rPr>
                      <w:rFonts w:eastAsia="等线" w:cs="Arial"/>
                      <w:color w:val="000000"/>
                      <w:sz w:val="16"/>
                      <w:szCs w:val="16"/>
                    </w:rPr>
                    <w:t>2021-08-20</w:t>
                  </w:r>
                </w:p>
              </w:tc>
            </w:tr>
          </w:tbl>
          <w:p w14:paraId="14620381" w14:textId="77777777" w:rsidR="004905C9" w:rsidRPr="00D85A79" w:rsidRDefault="004905C9" w:rsidP="00883778"/>
        </w:tc>
      </w:tr>
      <w:tr w:rsidR="004905C9" w:rsidRPr="00D85A79" w14:paraId="601EE8AB" w14:textId="77777777" w:rsidTr="00883778">
        <w:trPr>
          <w:trHeight w:val="113"/>
        </w:trPr>
        <w:tc>
          <w:tcPr>
            <w:tcW w:w="10420" w:type="dxa"/>
            <w:tcBorders>
              <w:top w:val="single" w:sz="8" w:space="0" w:color="C00000"/>
            </w:tcBorders>
            <w:shd w:val="clear" w:color="auto" w:fill="auto"/>
          </w:tcPr>
          <w:p w14:paraId="54373A53" w14:textId="77777777" w:rsidR="004905C9" w:rsidRDefault="004905C9" w:rsidP="00883778">
            <w:pPr>
              <w:jc w:val="left"/>
              <w:rPr>
                <w:rFonts w:ascii="楷体" w:eastAsia="楷体" w:hAnsi="楷体"/>
                <w:color w:val="C00000"/>
                <w:sz w:val="15"/>
              </w:rPr>
            </w:pPr>
            <w:r w:rsidRPr="00D85A79">
              <w:rPr>
                <w:rFonts w:ascii="楷体" w:eastAsia="楷体" w:hAnsi="楷体" w:hint="eastAsia"/>
                <w:color w:val="C00000"/>
                <w:sz w:val="15"/>
              </w:rPr>
              <w:t>来源：WIND，中泰证券研究所</w:t>
            </w:r>
          </w:p>
          <w:p w14:paraId="65C560C9" w14:textId="77777777" w:rsidR="004905C9" w:rsidRPr="00D85A79" w:rsidRDefault="004905C9" w:rsidP="00883778">
            <w:pPr>
              <w:jc w:val="left"/>
              <w:rPr>
                <w:rFonts w:ascii="楷体" w:eastAsia="楷体" w:hAnsi="楷体"/>
                <w:color w:val="C00000"/>
                <w:sz w:val="15"/>
              </w:rPr>
            </w:pPr>
          </w:p>
        </w:tc>
      </w:tr>
    </w:tbl>
    <w:p w14:paraId="58F0C344" w14:textId="5EC2601F" w:rsidR="003A6447" w:rsidRDefault="004905C9" w:rsidP="00597AC0">
      <w:pPr>
        <w:pStyle w:val="aff5"/>
        <w:numPr>
          <w:ilvl w:val="0"/>
          <w:numId w:val="5"/>
        </w:numPr>
        <w:ind w:firstLineChars="0"/>
        <w:rPr>
          <w:rFonts w:ascii="PingFangTC-light" w:hAnsi="PingFangTC-light" w:hint="eastAsia"/>
          <w:b/>
          <w:bCs/>
          <w:spacing w:val="8"/>
          <w:szCs w:val="21"/>
          <w:shd w:val="clear" w:color="auto" w:fill="FFFFFF"/>
        </w:rPr>
      </w:pPr>
      <w:r w:rsidRPr="009304B7">
        <w:rPr>
          <w:rFonts w:cs="Arial" w:hint="eastAsia"/>
          <w:b/>
          <w:szCs w:val="21"/>
        </w:rPr>
        <w:t>需求</w:t>
      </w:r>
      <w:bookmarkStart w:id="27" w:name="_Hlk76737402"/>
      <w:r w:rsidR="003A6447">
        <w:rPr>
          <w:rFonts w:cs="Arial" w:hint="eastAsia"/>
          <w:b/>
          <w:szCs w:val="21"/>
        </w:rPr>
        <w:t>：</w:t>
      </w:r>
      <w:bookmarkStart w:id="28" w:name="_Hlk80454957"/>
      <w:r w:rsidRPr="00DD1246">
        <w:rPr>
          <w:rFonts w:ascii="PingFangTC-light" w:hAnsi="PingFangTC-light"/>
          <w:b/>
          <w:bCs/>
          <w:spacing w:val="8"/>
          <w:szCs w:val="21"/>
          <w:shd w:val="clear" w:color="auto" w:fill="FFFFFF"/>
        </w:rPr>
        <w:t>成交土地面积</w:t>
      </w:r>
      <w:r>
        <w:rPr>
          <w:rFonts w:ascii="PingFangTC-light" w:hAnsi="PingFangTC-light" w:hint="eastAsia"/>
          <w:b/>
          <w:bCs/>
          <w:spacing w:val="8"/>
          <w:szCs w:val="21"/>
          <w:shd w:val="clear" w:color="auto" w:fill="FFFFFF"/>
        </w:rPr>
        <w:t>下降</w:t>
      </w:r>
      <w:r w:rsidRPr="00DD1246">
        <w:rPr>
          <w:rFonts w:ascii="PingFangTC-light" w:hAnsi="PingFangTC-light"/>
          <w:b/>
          <w:bCs/>
          <w:spacing w:val="8"/>
          <w:szCs w:val="21"/>
          <w:shd w:val="clear" w:color="auto" w:fill="FFFFFF"/>
        </w:rPr>
        <w:t>，</w:t>
      </w:r>
      <w:bookmarkStart w:id="29" w:name="_Hlk74416754"/>
      <w:r w:rsidRPr="00DD1246">
        <w:rPr>
          <w:rFonts w:ascii="PingFangTC-light" w:hAnsi="PingFangTC-light"/>
          <w:b/>
          <w:bCs/>
          <w:spacing w:val="8"/>
          <w:szCs w:val="21"/>
          <w:shd w:val="clear" w:color="auto" w:fill="FFFFFF"/>
        </w:rPr>
        <w:t>进出口指数</w:t>
      </w:r>
      <w:bookmarkEnd w:id="29"/>
      <w:r w:rsidRPr="00DD1246">
        <w:rPr>
          <w:rFonts w:ascii="PingFangTC-light" w:hAnsi="PingFangTC-light" w:hint="eastAsia"/>
          <w:b/>
          <w:bCs/>
          <w:spacing w:val="8"/>
          <w:szCs w:val="21"/>
          <w:shd w:val="clear" w:color="auto" w:fill="FFFFFF"/>
        </w:rPr>
        <w:t>上</w:t>
      </w:r>
      <w:r>
        <w:rPr>
          <w:rFonts w:ascii="PingFangTC-light" w:hAnsi="PingFangTC-light" w:hint="eastAsia"/>
          <w:b/>
          <w:bCs/>
          <w:spacing w:val="8"/>
          <w:szCs w:val="21"/>
          <w:shd w:val="clear" w:color="auto" w:fill="FFFFFF"/>
        </w:rPr>
        <w:t>升</w:t>
      </w:r>
      <w:bookmarkEnd w:id="27"/>
    </w:p>
    <w:p w14:paraId="62318973" w14:textId="76C1FCEB" w:rsidR="007851A6" w:rsidRPr="00E7726E" w:rsidRDefault="003A6447" w:rsidP="00247D79">
      <w:pPr>
        <w:ind w:left="3681"/>
        <w:rPr>
          <w:rFonts w:cs="Arial"/>
          <w:szCs w:val="21"/>
        </w:rPr>
      </w:pPr>
      <w:r w:rsidRPr="00D35B14">
        <w:rPr>
          <w:rFonts w:ascii="PingFangTC-light" w:hAnsi="PingFangTC-light" w:hint="eastAsia"/>
          <w:b/>
          <w:bCs/>
          <w:spacing w:val="8"/>
          <w:szCs w:val="21"/>
          <w:shd w:val="clear" w:color="auto" w:fill="FFFFFF"/>
        </w:rPr>
        <w:t>商品房销售方面，</w:t>
      </w:r>
      <w:r w:rsidR="004905C9" w:rsidRPr="008C71E8">
        <w:rPr>
          <w:rFonts w:ascii="PingFangTC-light" w:hAnsi="PingFangTC-light"/>
          <w:spacing w:val="8"/>
          <w:szCs w:val="21"/>
          <w:shd w:val="clear" w:color="auto" w:fill="FFFFFF"/>
        </w:rPr>
        <w:t>本周商品房成交面积</w:t>
      </w:r>
      <w:r w:rsidR="004905C9" w:rsidRPr="008C71E8">
        <w:rPr>
          <w:rFonts w:ascii="PingFangTC-light" w:hAnsi="PingFangTC-light" w:hint="eastAsia"/>
          <w:spacing w:val="8"/>
          <w:szCs w:val="21"/>
          <w:shd w:val="clear" w:color="auto" w:fill="FFFFFF"/>
        </w:rPr>
        <w:t>延续下降态势，周环比下降</w:t>
      </w:r>
      <w:r w:rsidR="004905C9" w:rsidRPr="00046999">
        <w:rPr>
          <w:rFonts w:cs="Arial" w:hint="eastAsia"/>
          <w:spacing w:val="8"/>
          <w:szCs w:val="21"/>
          <w:shd w:val="clear" w:color="auto" w:fill="FFFFFF"/>
        </w:rPr>
        <w:t>5.03</w:t>
      </w:r>
      <w:r w:rsidR="004905C9" w:rsidRPr="00046999">
        <w:rPr>
          <w:rFonts w:cs="Arial" w:hint="eastAsia"/>
          <w:szCs w:val="21"/>
        </w:rPr>
        <w:t>%</w:t>
      </w:r>
      <w:r w:rsidR="007851A6">
        <w:rPr>
          <w:rFonts w:ascii="PingFangTC-light" w:hAnsi="PingFangTC-light" w:hint="eastAsia"/>
          <w:spacing w:val="8"/>
          <w:szCs w:val="21"/>
          <w:shd w:val="clear" w:color="auto" w:fill="FFFFFF"/>
        </w:rPr>
        <w:t>，主要由于各地楼市调控政策频出</w:t>
      </w:r>
      <w:r w:rsidR="007851A6" w:rsidRPr="008C71E8">
        <w:rPr>
          <w:rFonts w:ascii="PingFangTC-light" w:hAnsi="PingFangTC-light" w:hint="eastAsia"/>
          <w:spacing w:val="8"/>
          <w:szCs w:val="21"/>
          <w:shd w:val="clear" w:color="auto" w:fill="FFFFFF"/>
        </w:rPr>
        <w:t>，房贷利率上调，限购、限售、限价政策集中出台，</w:t>
      </w:r>
      <w:r w:rsidR="007851A6">
        <w:rPr>
          <w:rFonts w:ascii="PingFangTC-light" w:hAnsi="PingFangTC-light" w:hint="eastAsia"/>
          <w:spacing w:val="8"/>
          <w:szCs w:val="21"/>
          <w:shd w:val="clear" w:color="auto" w:fill="FFFFFF"/>
        </w:rPr>
        <w:t>房地产进入下行周期。</w:t>
      </w:r>
      <w:r w:rsidR="004905C9" w:rsidRPr="008C71E8">
        <w:rPr>
          <w:rFonts w:ascii="PingFangTC-light" w:hAnsi="PingFangTC-light" w:hint="eastAsia"/>
          <w:spacing w:val="8"/>
          <w:szCs w:val="21"/>
          <w:shd w:val="clear" w:color="auto" w:fill="FFFFFF"/>
        </w:rPr>
        <w:t>分项来看，一线城市成交面积环比</w:t>
      </w:r>
      <w:r w:rsidR="004905C9">
        <w:rPr>
          <w:rFonts w:ascii="PingFangTC-light" w:hAnsi="PingFangTC-light" w:hint="eastAsia"/>
          <w:spacing w:val="8"/>
          <w:szCs w:val="21"/>
          <w:shd w:val="clear" w:color="auto" w:fill="FFFFFF"/>
        </w:rPr>
        <w:t>上升</w:t>
      </w:r>
      <w:r w:rsidR="004905C9" w:rsidRPr="00046999">
        <w:rPr>
          <w:rFonts w:cs="Arial" w:hint="eastAsia"/>
          <w:spacing w:val="8"/>
          <w:szCs w:val="21"/>
          <w:shd w:val="clear" w:color="auto" w:fill="FFFFFF"/>
        </w:rPr>
        <w:t>4.15</w:t>
      </w:r>
      <w:r w:rsidR="004905C9" w:rsidRPr="00046999">
        <w:rPr>
          <w:rFonts w:cs="Arial" w:hint="eastAsia"/>
          <w:szCs w:val="21"/>
        </w:rPr>
        <w:t>%</w:t>
      </w:r>
      <w:r w:rsidR="00883778">
        <w:rPr>
          <w:rFonts w:cs="Arial" w:hint="eastAsia"/>
          <w:szCs w:val="21"/>
        </w:rPr>
        <w:t>，</w:t>
      </w:r>
      <w:r w:rsidR="00F658E4">
        <w:rPr>
          <w:rFonts w:cs="Arial" w:hint="eastAsia"/>
          <w:szCs w:val="21"/>
        </w:rPr>
        <w:t>显示</w:t>
      </w:r>
      <w:r w:rsidR="00883778">
        <w:rPr>
          <w:rFonts w:cs="Arial" w:hint="eastAsia"/>
          <w:szCs w:val="21"/>
        </w:rPr>
        <w:t>购房情绪</w:t>
      </w:r>
      <w:r w:rsidR="007851A6">
        <w:rPr>
          <w:rFonts w:cs="Arial" w:hint="eastAsia"/>
          <w:szCs w:val="21"/>
        </w:rPr>
        <w:t>仍然</w:t>
      </w:r>
      <w:r w:rsidR="00883778">
        <w:rPr>
          <w:rFonts w:cs="Arial" w:hint="eastAsia"/>
          <w:szCs w:val="21"/>
        </w:rPr>
        <w:t>较高。</w:t>
      </w:r>
      <w:r w:rsidR="004905C9" w:rsidRPr="008C71E8">
        <w:rPr>
          <w:rFonts w:ascii="PingFangTC-light" w:hAnsi="PingFangTC-light" w:hint="eastAsia"/>
          <w:spacing w:val="8"/>
          <w:szCs w:val="21"/>
          <w:shd w:val="clear" w:color="auto" w:fill="FFFFFF"/>
        </w:rPr>
        <w:t>二线城市环比下降</w:t>
      </w:r>
      <w:r w:rsidR="004905C9" w:rsidRPr="00046999">
        <w:rPr>
          <w:rFonts w:cs="Arial" w:hint="eastAsia"/>
          <w:spacing w:val="8"/>
          <w:szCs w:val="21"/>
          <w:shd w:val="clear" w:color="auto" w:fill="FFFFFF"/>
        </w:rPr>
        <w:t>13.03</w:t>
      </w:r>
      <w:r w:rsidR="004905C9" w:rsidRPr="00046999">
        <w:rPr>
          <w:rFonts w:cs="Arial" w:hint="eastAsia"/>
          <w:szCs w:val="21"/>
        </w:rPr>
        <w:t>%</w:t>
      </w:r>
      <w:r w:rsidR="004905C9" w:rsidRPr="008C71E8">
        <w:rPr>
          <w:rFonts w:ascii="PingFangTC-light" w:hAnsi="PingFangTC-light" w:hint="eastAsia"/>
          <w:spacing w:val="8"/>
          <w:szCs w:val="21"/>
          <w:shd w:val="clear" w:color="auto" w:fill="FFFFFF"/>
        </w:rPr>
        <w:t>，三线城市环比下降</w:t>
      </w:r>
      <w:r w:rsidR="004905C9">
        <w:rPr>
          <w:rFonts w:cs="Arial"/>
          <w:szCs w:val="21"/>
        </w:rPr>
        <w:t>1.80</w:t>
      </w:r>
      <w:r w:rsidR="004905C9" w:rsidRPr="00046999">
        <w:rPr>
          <w:rFonts w:cs="Arial" w:hint="eastAsia"/>
          <w:szCs w:val="21"/>
        </w:rPr>
        <w:t>%</w:t>
      </w:r>
      <w:r w:rsidR="004905C9" w:rsidRPr="008C71E8">
        <w:rPr>
          <w:rFonts w:ascii="PingFangTC-light" w:hAnsi="PingFangTC-light" w:hint="eastAsia"/>
          <w:spacing w:val="8"/>
          <w:szCs w:val="21"/>
          <w:shd w:val="clear" w:color="auto" w:fill="FFFFFF"/>
        </w:rPr>
        <w:t>。</w:t>
      </w:r>
      <w:r w:rsidR="004905C9" w:rsidRPr="00043050">
        <w:rPr>
          <w:rFonts w:cs="Arial" w:hint="eastAsia"/>
          <w:b/>
          <w:bCs/>
          <w:szCs w:val="21"/>
        </w:rPr>
        <w:t>土地成交方面</w:t>
      </w:r>
      <w:r w:rsidR="004905C9" w:rsidRPr="00043050">
        <w:rPr>
          <w:rFonts w:cs="Arial" w:hint="eastAsia"/>
          <w:szCs w:val="21"/>
        </w:rPr>
        <w:t>，</w:t>
      </w:r>
      <w:r w:rsidR="004905C9" w:rsidRPr="00043050">
        <w:rPr>
          <w:rFonts w:cs="Arial"/>
          <w:szCs w:val="21"/>
        </w:rPr>
        <w:t>受</w:t>
      </w:r>
      <w:r w:rsidR="00883778">
        <w:rPr>
          <w:rFonts w:cs="Arial" w:hint="eastAsia"/>
          <w:szCs w:val="21"/>
        </w:rPr>
        <w:t>多地</w:t>
      </w:r>
      <w:r w:rsidR="004905C9" w:rsidRPr="00043050">
        <w:rPr>
          <w:rFonts w:cs="Arial"/>
          <w:szCs w:val="21"/>
        </w:rPr>
        <w:t>集中供地</w:t>
      </w:r>
      <w:r w:rsidR="00883778">
        <w:rPr>
          <w:rFonts w:cs="Arial" w:hint="eastAsia"/>
          <w:szCs w:val="21"/>
        </w:rPr>
        <w:t>延期</w:t>
      </w:r>
      <w:r w:rsidR="004905C9" w:rsidRPr="00043050">
        <w:rPr>
          <w:rFonts w:cs="Arial"/>
          <w:szCs w:val="21"/>
        </w:rPr>
        <w:t>影响</w:t>
      </w:r>
      <w:r w:rsidR="004905C9" w:rsidRPr="00043050">
        <w:rPr>
          <w:rFonts w:cs="Arial" w:hint="eastAsia"/>
          <w:szCs w:val="21"/>
        </w:rPr>
        <w:t>，</w:t>
      </w:r>
      <w:r w:rsidR="004905C9" w:rsidRPr="00043050">
        <w:rPr>
          <w:rFonts w:cs="Arial"/>
          <w:szCs w:val="21"/>
        </w:rPr>
        <w:t>100</w:t>
      </w:r>
      <w:r w:rsidR="004905C9" w:rsidRPr="00043050">
        <w:rPr>
          <w:rFonts w:cs="Arial"/>
          <w:szCs w:val="21"/>
        </w:rPr>
        <w:t>大中城市成交土地</w:t>
      </w:r>
      <w:r w:rsidR="004905C9" w:rsidRPr="00043050">
        <w:rPr>
          <w:rFonts w:cs="Arial" w:hint="eastAsia"/>
          <w:szCs w:val="21"/>
        </w:rPr>
        <w:t>面积下滑至</w:t>
      </w:r>
      <w:r w:rsidR="004905C9">
        <w:rPr>
          <w:rFonts w:cs="Arial"/>
          <w:szCs w:val="21"/>
        </w:rPr>
        <w:t>368.62</w:t>
      </w:r>
      <w:r w:rsidR="004905C9" w:rsidRPr="00043050">
        <w:rPr>
          <w:rFonts w:cs="Arial" w:hint="eastAsia"/>
          <w:szCs w:val="21"/>
        </w:rPr>
        <w:t>万方，周环比下降</w:t>
      </w:r>
      <w:r w:rsidR="004905C9">
        <w:rPr>
          <w:rFonts w:cs="Arial"/>
          <w:szCs w:val="21"/>
        </w:rPr>
        <w:t>62.06</w:t>
      </w:r>
      <w:r w:rsidR="004905C9" w:rsidRPr="00043050">
        <w:rPr>
          <w:rFonts w:cs="Arial" w:hint="eastAsia"/>
          <w:szCs w:val="21"/>
        </w:rPr>
        <w:t>%</w:t>
      </w:r>
      <w:r w:rsidR="007851A6">
        <w:rPr>
          <w:rFonts w:cs="Arial" w:hint="eastAsia"/>
          <w:szCs w:val="21"/>
        </w:rPr>
        <w:t>。</w:t>
      </w:r>
      <w:r w:rsidR="004905C9" w:rsidRPr="00043050">
        <w:rPr>
          <w:rFonts w:cs="Arial" w:hint="eastAsia"/>
          <w:szCs w:val="21"/>
        </w:rPr>
        <w:t>分项来看，一线城市成交</w:t>
      </w:r>
      <w:r w:rsidR="004905C9" w:rsidRPr="00043050">
        <w:rPr>
          <w:rFonts w:cs="Arial" w:hint="eastAsia"/>
          <w:szCs w:val="21"/>
        </w:rPr>
        <w:t>5</w:t>
      </w:r>
      <w:r w:rsidR="004905C9" w:rsidRPr="00043050">
        <w:rPr>
          <w:rFonts w:cs="Arial"/>
          <w:szCs w:val="21"/>
        </w:rPr>
        <w:t>2.59</w:t>
      </w:r>
      <w:r w:rsidR="004905C9" w:rsidRPr="00043050">
        <w:rPr>
          <w:rFonts w:cs="Arial" w:hint="eastAsia"/>
          <w:szCs w:val="21"/>
        </w:rPr>
        <w:t>万方，</w:t>
      </w:r>
      <w:r w:rsidR="007851A6">
        <w:rPr>
          <w:rFonts w:cs="Arial" w:hint="eastAsia"/>
          <w:szCs w:val="21"/>
        </w:rPr>
        <w:t>环比</w:t>
      </w:r>
      <w:r w:rsidR="004905C9" w:rsidRPr="00043050">
        <w:rPr>
          <w:rFonts w:cs="Arial" w:hint="eastAsia"/>
          <w:szCs w:val="21"/>
        </w:rPr>
        <w:t>上升</w:t>
      </w:r>
      <w:r w:rsidR="004905C9" w:rsidRPr="00043050">
        <w:rPr>
          <w:rFonts w:cs="Arial" w:hint="eastAsia"/>
          <w:szCs w:val="21"/>
        </w:rPr>
        <w:t>1</w:t>
      </w:r>
      <w:r w:rsidR="004905C9" w:rsidRPr="00043050">
        <w:rPr>
          <w:rFonts w:cs="Arial"/>
          <w:szCs w:val="21"/>
        </w:rPr>
        <w:t>26.58%</w:t>
      </w:r>
      <w:r w:rsidR="004905C9">
        <w:rPr>
          <w:rFonts w:cs="Arial" w:hint="eastAsia"/>
          <w:szCs w:val="21"/>
        </w:rPr>
        <w:t>，主要受到上周低基数的影响</w:t>
      </w:r>
      <w:r w:rsidR="004905C9" w:rsidRPr="00043050">
        <w:rPr>
          <w:rFonts w:cs="Arial" w:hint="eastAsia"/>
          <w:szCs w:val="21"/>
        </w:rPr>
        <w:t>；二线城市成交</w:t>
      </w:r>
      <w:r w:rsidR="004905C9">
        <w:rPr>
          <w:rFonts w:cs="Arial"/>
          <w:szCs w:val="21"/>
        </w:rPr>
        <w:t>135.63</w:t>
      </w:r>
      <w:r w:rsidR="004905C9" w:rsidRPr="00043050">
        <w:rPr>
          <w:rFonts w:cs="Arial" w:hint="eastAsia"/>
          <w:szCs w:val="21"/>
        </w:rPr>
        <w:t>万方，下降</w:t>
      </w:r>
      <w:r w:rsidR="004905C9" w:rsidRPr="00043050">
        <w:rPr>
          <w:rFonts w:cs="Arial" w:hint="eastAsia"/>
          <w:szCs w:val="21"/>
        </w:rPr>
        <w:t>6</w:t>
      </w:r>
      <w:r w:rsidR="004905C9">
        <w:rPr>
          <w:rFonts w:cs="Arial"/>
          <w:szCs w:val="21"/>
        </w:rPr>
        <w:t>0.57</w:t>
      </w:r>
      <w:r w:rsidR="004905C9" w:rsidRPr="00043050">
        <w:rPr>
          <w:rFonts w:cs="Arial"/>
          <w:szCs w:val="21"/>
        </w:rPr>
        <w:t>%</w:t>
      </w:r>
      <w:r w:rsidR="004905C9" w:rsidRPr="00043050">
        <w:rPr>
          <w:rFonts w:cs="Arial" w:hint="eastAsia"/>
          <w:szCs w:val="21"/>
        </w:rPr>
        <w:t>；三线城市成交</w:t>
      </w:r>
      <w:r w:rsidR="004905C9">
        <w:rPr>
          <w:rFonts w:cs="Arial"/>
          <w:szCs w:val="21"/>
        </w:rPr>
        <w:t>180.40</w:t>
      </w:r>
      <w:r w:rsidR="004905C9" w:rsidRPr="00043050">
        <w:rPr>
          <w:rFonts w:cs="Arial" w:hint="eastAsia"/>
          <w:szCs w:val="21"/>
        </w:rPr>
        <w:t>万方，下降</w:t>
      </w:r>
      <w:r w:rsidR="004905C9">
        <w:rPr>
          <w:rFonts w:cs="Arial"/>
          <w:szCs w:val="21"/>
        </w:rPr>
        <w:t>70.15</w:t>
      </w:r>
      <w:r w:rsidR="004905C9" w:rsidRPr="00043050">
        <w:rPr>
          <w:rFonts w:cs="Arial"/>
          <w:szCs w:val="21"/>
        </w:rPr>
        <w:t>%</w:t>
      </w:r>
      <w:r w:rsidR="004905C9" w:rsidRPr="00043050">
        <w:rPr>
          <w:rFonts w:cs="Arial" w:hint="eastAsia"/>
          <w:szCs w:val="21"/>
        </w:rPr>
        <w:t>。消息面上，上海第二批集中供地</w:t>
      </w:r>
      <w:r w:rsidR="007851A6">
        <w:rPr>
          <w:rFonts w:cs="Arial" w:hint="eastAsia"/>
          <w:szCs w:val="21"/>
        </w:rPr>
        <w:t>公告</w:t>
      </w:r>
      <w:r w:rsidR="004905C9" w:rsidRPr="00043050">
        <w:rPr>
          <w:rFonts w:cs="Arial" w:hint="eastAsia"/>
          <w:szCs w:val="21"/>
        </w:rPr>
        <w:t>将延迟至</w:t>
      </w:r>
      <w:r w:rsidR="004905C9" w:rsidRPr="00043050">
        <w:rPr>
          <w:rFonts w:cs="Arial" w:hint="eastAsia"/>
          <w:szCs w:val="21"/>
        </w:rPr>
        <w:t>9</w:t>
      </w:r>
      <w:r w:rsidR="004905C9" w:rsidRPr="00043050">
        <w:rPr>
          <w:rFonts w:cs="Arial" w:hint="eastAsia"/>
          <w:szCs w:val="21"/>
        </w:rPr>
        <w:t>月发布</w:t>
      </w:r>
      <w:r w:rsidR="007851A6">
        <w:rPr>
          <w:rFonts w:cs="Arial" w:hint="eastAsia"/>
          <w:szCs w:val="21"/>
        </w:rPr>
        <w:t>；</w:t>
      </w:r>
      <w:r w:rsidR="004905C9" w:rsidRPr="00043050">
        <w:rPr>
          <w:rFonts w:cs="Arial" w:hint="eastAsia"/>
          <w:szCs w:val="21"/>
        </w:rPr>
        <w:t>天津第二批集中供应地块延迟至</w:t>
      </w:r>
      <w:r w:rsidR="004905C9" w:rsidRPr="00043050">
        <w:rPr>
          <w:rFonts w:cs="Arial" w:hint="eastAsia"/>
          <w:szCs w:val="21"/>
        </w:rPr>
        <w:t>9</w:t>
      </w:r>
      <w:r w:rsidR="004905C9" w:rsidRPr="00043050">
        <w:rPr>
          <w:rFonts w:cs="Arial" w:hint="eastAsia"/>
          <w:szCs w:val="21"/>
        </w:rPr>
        <w:t>月</w:t>
      </w:r>
      <w:r w:rsidR="004905C9" w:rsidRPr="00043050">
        <w:rPr>
          <w:rFonts w:cs="Arial" w:hint="eastAsia"/>
          <w:szCs w:val="21"/>
        </w:rPr>
        <w:t>10</w:t>
      </w:r>
      <w:r w:rsidR="004905C9" w:rsidRPr="00043050">
        <w:rPr>
          <w:rFonts w:cs="Arial" w:hint="eastAsia"/>
          <w:szCs w:val="21"/>
        </w:rPr>
        <w:t>日出让；青岛第二批集中供地</w:t>
      </w:r>
      <w:r w:rsidR="004905C9" w:rsidRPr="00043050">
        <w:rPr>
          <w:rFonts w:cs="Arial" w:hint="eastAsia"/>
          <w:szCs w:val="21"/>
        </w:rPr>
        <w:t>100</w:t>
      </w:r>
      <w:r w:rsidR="004905C9" w:rsidRPr="00043050">
        <w:rPr>
          <w:rFonts w:cs="Arial" w:hint="eastAsia"/>
          <w:szCs w:val="21"/>
        </w:rPr>
        <w:t>幅地块终止出让，再次出让时间待定。</w:t>
      </w:r>
      <w:r w:rsidR="004905C9" w:rsidRPr="00043050">
        <w:rPr>
          <w:rFonts w:ascii="PingFangTC-light" w:hAnsi="PingFangTC-light"/>
          <w:b/>
          <w:bCs/>
          <w:spacing w:val="8"/>
          <w:szCs w:val="21"/>
          <w:shd w:val="clear" w:color="auto" w:fill="FFFFFF"/>
        </w:rPr>
        <w:t>成交溢价方面</w:t>
      </w:r>
      <w:r w:rsidR="004905C9" w:rsidRPr="00043050">
        <w:rPr>
          <w:rFonts w:ascii="PingFangTC-light" w:hAnsi="PingFangTC-light" w:hint="eastAsia"/>
          <w:b/>
          <w:bCs/>
          <w:spacing w:val="8"/>
          <w:szCs w:val="21"/>
          <w:shd w:val="clear" w:color="auto" w:fill="FFFFFF"/>
        </w:rPr>
        <w:t>，</w:t>
      </w:r>
      <w:r w:rsidR="004905C9" w:rsidRPr="00043050">
        <w:rPr>
          <w:rFonts w:cs="Arial"/>
          <w:szCs w:val="21"/>
        </w:rPr>
        <w:t>100</w:t>
      </w:r>
      <w:r w:rsidR="004905C9" w:rsidRPr="00043050">
        <w:rPr>
          <w:rFonts w:cs="Arial"/>
          <w:szCs w:val="21"/>
        </w:rPr>
        <w:t>大中城市成交土地</w:t>
      </w:r>
      <w:r w:rsidR="004905C9" w:rsidRPr="00043050">
        <w:rPr>
          <w:rFonts w:cs="Arial" w:hint="eastAsia"/>
          <w:szCs w:val="21"/>
        </w:rPr>
        <w:t>溢价率</w:t>
      </w:r>
      <w:r w:rsidR="004905C9" w:rsidRPr="00043050">
        <w:rPr>
          <w:rFonts w:cs="Arial"/>
          <w:szCs w:val="21"/>
        </w:rPr>
        <w:t>8.73%</w:t>
      </w:r>
      <w:r w:rsidR="004905C9" w:rsidRPr="00043050">
        <w:rPr>
          <w:rFonts w:cs="Arial" w:hint="eastAsia"/>
          <w:szCs w:val="21"/>
        </w:rPr>
        <w:t>，环比上升</w:t>
      </w:r>
      <w:r w:rsidR="004905C9" w:rsidRPr="00043050">
        <w:rPr>
          <w:rFonts w:cs="Arial"/>
          <w:szCs w:val="21"/>
        </w:rPr>
        <w:t>2</w:t>
      </w:r>
      <w:r w:rsidR="004905C9" w:rsidRPr="00043050">
        <w:rPr>
          <w:rFonts w:cs="Arial" w:hint="eastAsia"/>
          <w:szCs w:val="21"/>
        </w:rPr>
        <w:t>.4</w:t>
      </w:r>
      <w:r w:rsidR="004905C9" w:rsidRPr="00043050">
        <w:rPr>
          <w:rFonts w:cs="Arial"/>
          <w:szCs w:val="21"/>
        </w:rPr>
        <w:t>2</w:t>
      </w:r>
      <w:r w:rsidR="004905C9" w:rsidRPr="00043050">
        <w:rPr>
          <w:rFonts w:cs="Arial" w:hint="eastAsia"/>
          <w:szCs w:val="21"/>
        </w:rPr>
        <w:t>个百分点，分项来看，一线城市溢价率较上周下降</w:t>
      </w:r>
      <w:r w:rsidR="004905C9" w:rsidRPr="00043050">
        <w:rPr>
          <w:rFonts w:cs="Arial" w:hint="eastAsia"/>
          <w:szCs w:val="21"/>
        </w:rPr>
        <w:t>0</w:t>
      </w:r>
      <w:r w:rsidR="004905C9" w:rsidRPr="00043050">
        <w:rPr>
          <w:rFonts w:cs="Arial"/>
          <w:szCs w:val="21"/>
        </w:rPr>
        <w:t>.73</w:t>
      </w:r>
      <w:r w:rsidR="004905C9" w:rsidRPr="00043050">
        <w:rPr>
          <w:rFonts w:cs="Arial" w:hint="eastAsia"/>
          <w:szCs w:val="21"/>
        </w:rPr>
        <w:t>个百分点；二线城市溢价率</w:t>
      </w:r>
      <w:r w:rsidR="004905C9">
        <w:rPr>
          <w:rFonts w:cs="Arial" w:hint="eastAsia"/>
          <w:szCs w:val="21"/>
        </w:rPr>
        <w:t>环比</w:t>
      </w:r>
      <w:r w:rsidR="004905C9" w:rsidRPr="00043050">
        <w:rPr>
          <w:rFonts w:cs="Arial" w:hint="eastAsia"/>
          <w:szCs w:val="21"/>
        </w:rPr>
        <w:t>下降</w:t>
      </w:r>
      <w:r w:rsidR="004905C9" w:rsidRPr="00043050">
        <w:rPr>
          <w:rFonts w:cs="Arial"/>
          <w:szCs w:val="21"/>
        </w:rPr>
        <w:t>1.28</w:t>
      </w:r>
      <w:r w:rsidR="004905C9" w:rsidRPr="00043050">
        <w:rPr>
          <w:rFonts w:cs="Arial" w:hint="eastAsia"/>
          <w:szCs w:val="21"/>
        </w:rPr>
        <w:t>个百分点；三线城市溢价率</w:t>
      </w:r>
      <w:r w:rsidR="004905C9">
        <w:rPr>
          <w:rFonts w:cs="Arial" w:hint="eastAsia"/>
          <w:szCs w:val="21"/>
        </w:rPr>
        <w:t>为</w:t>
      </w:r>
      <w:r w:rsidR="004905C9" w:rsidRPr="00043050">
        <w:rPr>
          <w:rFonts w:cs="Arial" w:hint="eastAsia"/>
          <w:szCs w:val="21"/>
        </w:rPr>
        <w:t>1</w:t>
      </w:r>
      <w:r w:rsidR="004905C9" w:rsidRPr="00043050">
        <w:rPr>
          <w:rFonts w:cs="Arial"/>
          <w:szCs w:val="21"/>
        </w:rPr>
        <w:t>4.73%</w:t>
      </w:r>
      <w:r w:rsidR="004905C9" w:rsidRPr="00043050">
        <w:rPr>
          <w:rFonts w:cs="Arial" w:hint="eastAsia"/>
          <w:szCs w:val="21"/>
        </w:rPr>
        <w:t>，</w:t>
      </w:r>
      <w:r w:rsidR="004905C9">
        <w:rPr>
          <w:rFonts w:cs="Arial" w:hint="eastAsia"/>
          <w:szCs w:val="21"/>
        </w:rPr>
        <w:t>上涨</w:t>
      </w:r>
      <w:r w:rsidR="004905C9" w:rsidRPr="00043050">
        <w:rPr>
          <w:rFonts w:cs="Arial" w:hint="eastAsia"/>
          <w:szCs w:val="21"/>
        </w:rPr>
        <w:t>7</w:t>
      </w:r>
      <w:r w:rsidR="004905C9" w:rsidRPr="00043050">
        <w:rPr>
          <w:rFonts w:cs="Arial"/>
          <w:szCs w:val="21"/>
        </w:rPr>
        <w:t>.52</w:t>
      </w:r>
      <w:r w:rsidR="004905C9" w:rsidRPr="00043050">
        <w:rPr>
          <w:rFonts w:cs="Arial" w:hint="eastAsia"/>
          <w:szCs w:val="21"/>
        </w:rPr>
        <w:t>个百分点。</w:t>
      </w:r>
      <w:bookmarkStart w:id="30" w:name="_Hlk74416721"/>
      <w:r w:rsidR="004905C9" w:rsidRPr="00043050">
        <w:rPr>
          <w:rFonts w:cs="Arial" w:hint="eastAsia"/>
          <w:szCs w:val="21"/>
        </w:rPr>
        <w:t>消息面上，</w:t>
      </w:r>
      <w:r w:rsidR="004905C9" w:rsidRPr="00043050">
        <w:rPr>
          <w:rFonts w:cs="Arial" w:hint="eastAsia"/>
        </w:rPr>
        <w:t>自然资源部调整二批次“两集中”土地</w:t>
      </w:r>
      <w:bookmarkEnd w:id="28"/>
      <w:r w:rsidR="004905C9" w:rsidRPr="00043050">
        <w:rPr>
          <w:rFonts w:cs="Arial" w:hint="eastAsia"/>
        </w:rPr>
        <w:t>出让政策</w:t>
      </w:r>
      <w:r w:rsidR="004905C9" w:rsidRPr="00043050">
        <w:rPr>
          <w:rFonts w:cs="Arial" w:hint="eastAsia"/>
          <w:szCs w:val="21"/>
        </w:rPr>
        <w:t>，提出严格控制实际房价，限定土拍溢价上限</w:t>
      </w:r>
      <w:r w:rsidR="004905C9" w:rsidRPr="00043050">
        <w:rPr>
          <w:rFonts w:cs="Arial" w:hint="eastAsia"/>
          <w:szCs w:val="21"/>
        </w:rPr>
        <w:t>15%</w:t>
      </w:r>
      <w:r w:rsidR="004905C9" w:rsidRPr="00043050">
        <w:rPr>
          <w:rFonts w:cs="Arial" w:hint="eastAsia"/>
          <w:szCs w:val="21"/>
        </w:rPr>
        <w:t>，到达上限后通过摇号、一次性报价等方式决定土地归属。</w:t>
      </w:r>
      <w:r w:rsidR="004905C9" w:rsidRPr="008769A2">
        <w:rPr>
          <w:rFonts w:cs="Arial"/>
          <w:b/>
          <w:bCs/>
          <w:szCs w:val="21"/>
        </w:rPr>
        <w:t>汽车销售方面</w:t>
      </w:r>
      <w:r w:rsidR="004905C9" w:rsidRPr="008769A2">
        <w:rPr>
          <w:rFonts w:cs="Arial"/>
          <w:szCs w:val="21"/>
        </w:rPr>
        <w:t>，</w:t>
      </w:r>
      <w:bookmarkEnd w:id="30"/>
      <w:r w:rsidR="004905C9" w:rsidRPr="008769A2">
        <w:rPr>
          <w:rFonts w:cs="Arial" w:hint="eastAsia"/>
          <w:szCs w:val="21"/>
        </w:rPr>
        <w:t>本周销量</w:t>
      </w:r>
      <w:r w:rsidR="004905C9">
        <w:rPr>
          <w:rFonts w:cs="Arial" w:hint="eastAsia"/>
          <w:szCs w:val="21"/>
        </w:rPr>
        <w:t>迎来反弹</w:t>
      </w:r>
      <w:r w:rsidR="004905C9" w:rsidRPr="008769A2">
        <w:rPr>
          <w:rFonts w:cs="Arial" w:hint="eastAsia"/>
          <w:szCs w:val="21"/>
        </w:rPr>
        <w:t>，</w:t>
      </w:r>
      <w:r w:rsidR="004905C9" w:rsidRPr="008769A2">
        <w:rPr>
          <w:rFonts w:cs="Arial"/>
          <w:szCs w:val="21"/>
        </w:rPr>
        <w:t>日均批发和零售环比分别</w:t>
      </w:r>
      <w:r w:rsidR="004905C9">
        <w:rPr>
          <w:rFonts w:cs="Arial" w:hint="eastAsia"/>
          <w:szCs w:val="21"/>
        </w:rPr>
        <w:t>上升</w:t>
      </w:r>
      <w:r w:rsidR="004905C9">
        <w:rPr>
          <w:rFonts w:cs="Arial" w:hint="eastAsia"/>
          <w:szCs w:val="21"/>
        </w:rPr>
        <w:t>9</w:t>
      </w:r>
      <w:r w:rsidR="004905C9">
        <w:rPr>
          <w:rFonts w:cs="Arial"/>
          <w:szCs w:val="21"/>
        </w:rPr>
        <w:t>.00</w:t>
      </w:r>
      <w:r w:rsidR="004905C9" w:rsidRPr="008769A2">
        <w:rPr>
          <w:rFonts w:cs="Arial" w:hint="eastAsia"/>
          <w:szCs w:val="21"/>
        </w:rPr>
        <w:t>%</w:t>
      </w:r>
      <w:r w:rsidR="004905C9" w:rsidRPr="008769A2">
        <w:rPr>
          <w:rFonts w:cs="Arial" w:hint="eastAsia"/>
          <w:szCs w:val="21"/>
        </w:rPr>
        <w:t>和</w:t>
      </w:r>
      <w:r w:rsidR="004905C9">
        <w:rPr>
          <w:rFonts w:cs="Arial"/>
          <w:szCs w:val="21"/>
        </w:rPr>
        <w:t>17.32</w:t>
      </w:r>
      <w:r w:rsidR="004905C9" w:rsidRPr="008769A2">
        <w:rPr>
          <w:rFonts w:cs="Arial" w:hint="eastAsia"/>
          <w:szCs w:val="21"/>
        </w:rPr>
        <w:t>%</w:t>
      </w:r>
      <w:bookmarkStart w:id="31" w:name="_Hlk75010301"/>
      <w:r w:rsidR="004905C9" w:rsidRPr="008769A2">
        <w:rPr>
          <w:rFonts w:cs="Arial" w:hint="eastAsia"/>
          <w:szCs w:val="21"/>
        </w:rPr>
        <w:t>，</w:t>
      </w:r>
      <w:bookmarkEnd w:id="31"/>
      <w:r w:rsidR="00883778">
        <w:rPr>
          <w:rFonts w:cs="Arial" w:hint="eastAsia"/>
          <w:szCs w:val="21"/>
        </w:rPr>
        <w:t>主要受到国内疫情减弱，消费需求回暖带动</w:t>
      </w:r>
      <w:r w:rsidR="004905C9" w:rsidRPr="00043050">
        <w:rPr>
          <w:rFonts w:cs="Arial" w:hint="eastAsia"/>
          <w:szCs w:val="21"/>
        </w:rPr>
        <w:t>。</w:t>
      </w:r>
      <w:r w:rsidR="004905C9" w:rsidRPr="008769A2">
        <w:rPr>
          <w:rFonts w:cs="Arial" w:hint="eastAsia"/>
          <w:b/>
          <w:bCs/>
          <w:szCs w:val="21"/>
        </w:rPr>
        <w:t>钢</w:t>
      </w:r>
      <w:r w:rsidR="004905C9" w:rsidRPr="008769A2">
        <w:rPr>
          <w:rFonts w:cs="Arial"/>
          <w:b/>
          <w:bCs/>
          <w:szCs w:val="21"/>
        </w:rPr>
        <w:t>材库存</w:t>
      </w:r>
      <w:r w:rsidR="004905C9" w:rsidRPr="008769A2">
        <w:rPr>
          <w:rFonts w:cs="Arial" w:hint="eastAsia"/>
          <w:b/>
          <w:bCs/>
          <w:szCs w:val="21"/>
        </w:rPr>
        <w:t>窄幅震荡</w:t>
      </w:r>
      <w:r w:rsidR="004905C9" w:rsidRPr="008769A2">
        <w:rPr>
          <w:rFonts w:cs="Arial"/>
          <w:szCs w:val="21"/>
        </w:rPr>
        <w:t>，</w:t>
      </w:r>
      <w:r w:rsidR="004905C9">
        <w:rPr>
          <w:rFonts w:cs="Arial" w:hint="eastAsia"/>
          <w:szCs w:val="21"/>
        </w:rPr>
        <w:t>线材</w:t>
      </w:r>
      <w:r w:rsidR="004905C9" w:rsidRPr="00D85A79">
        <w:rPr>
          <w:rFonts w:cs="Arial"/>
          <w:szCs w:val="21"/>
        </w:rPr>
        <w:t>环比</w:t>
      </w:r>
      <w:r w:rsidR="004905C9">
        <w:rPr>
          <w:rFonts w:cs="Arial" w:hint="eastAsia"/>
          <w:szCs w:val="21"/>
        </w:rPr>
        <w:t>上涨</w:t>
      </w:r>
      <w:r w:rsidR="004905C9">
        <w:rPr>
          <w:rFonts w:cs="Arial"/>
          <w:szCs w:val="21"/>
        </w:rPr>
        <w:t>1.97</w:t>
      </w:r>
      <w:r w:rsidR="004905C9">
        <w:rPr>
          <w:rFonts w:cs="Arial" w:hint="eastAsia"/>
          <w:szCs w:val="21"/>
        </w:rPr>
        <w:t>%</w:t>
      </w:r>
      <w:r w:rsidR="004905C9">
        <w:rPr>
          <w:rFonts w:cs="Arial" w:hint="eastAsia"/>
          <w:szCs w:val="21"/>
        </w:rPr>
        <w:t>，</w:t>
      </w:r>
      <w:r w:rsidR="004905C9" w:rsidRPr="00D85A79">
        <w:rPr>
          <w:rFonts w:cs="Arial"/>
          <w:szCs w:val="21"/>
        </w:rPr>
        <w:t>螺纹钢</w:t>
      </w:r>
      <w:r w:rsidR="004905C9">
        <w:rPr>
          <w:rFonts w:cs="Arial" w:hint="eastAsia"/>
          <w:szCs w:val="21"/>
        </w:rPr>
        <w:t>和</w:t>
      </w:r>
      <w:r w:rsidR="004905C9" w:rsidRPr="008769A2">
        <w:rPr>
          <w:rFonts w:cs="Arial"/>
          <w:szCs w:val="21"/>
        </w:rPr>
        <w:t>热轧</w:t>
      </w:r>
      <w:r w:rsidR="004905C9" w:rsidRPr="00D85A79">
        <w:rPr>
          <w:rFonts w:cs="Arial"/>
          <w:szCs w:val="21"/>
        </w:rPr>
        <w:t>板</w:t>
      </w:r>
      <w:r w:rsidR="004905C9">
        <w:rPr>
          <w:rFonts w:cs="Arial" w:hint="eastAsia"/>
          <w:szCs w:val="21"/>
        </w:rPr>
        <w:t>分别环比下降</w:t>
      </w:r>
      <w:r w:rsidR="004905C9">
        <w:rPr>
          <w:rFonts w:cs="Arial"/>
          <w:szCs w:val="21"/>
        </w:rPr>
        <w:t>1.13%</w:t>
      </w:r>
      <w:r w:rsidR="004905C9">
        <w:rPr>
          <w:rFonts w:cs="Arial" w:hint="eastAsia"/>
          <w:szCs w:val="21"/>
        </w:rPr>
        <w:t>、</w:t>
      </w:r>
      <w:r w:rsidR="004905C9">
        <w:rPr>
          <w:rFonts w:cs="Arial"/>
          <w:szCs w:val="21"/>
        </w:rPr>
        <w:t>0.15</w:t>
      </w:r>
      <w:r w:rsidR="004905C9">
        <w:rPr>
          <w:rFonts w:cs="Arial" w:hint="eastAsia"/>
          <w:szCs w:val="21"/>
        </w:rPr>
        <w:t>%</w:t>
      </w:r>
      <w:r w:rsidR="004905C9">
        <w:rPr>
          <w:rFonts w:cs="Arial" w:hint="eastAsia"/>
          <w:szCs w:val="21"/>
        </w:rPr>
        <w:t>。</w:t>
      </w:r>
      <w:r w:rsidR="004905C9" w:rsidRPr="004F25E3">
        <w:rPr>
          <w:rFonts w:cs="Arial"/>
          <w:szCs w:val="21"/>
        </w:rPr>
        <w:t>中钢协</w:t>
      </w:r>
      <w:r w:rsidR="004905C9" w:rsidRPr="004F25E3">
        <w:rPr>
          <w:rFonts w:cs="Arial" w:hint="eastAsia"/>
          <w:szCs w:val="21"/>
        </w:rPr>
        <w:t>指出，受减产、限产措施影响，钢材市场阶段性偏紧预期有所上升</w:t>
      </w:r>
      <w:r w:rsidR="004905C9">
        <w:rPr>
          <w:rFonts w:cs="Arial" w:hint="eastAsia"/>
          <w:szCs w:val="21"/>
        </w:rPr>
        <w:t>。</w:t>
      </w:r>
      <w:r w:rsidR="004905C9" w:rsidRPr="00B0759D">
        <w:rPr>
          <w:rFonts w:cs="Arial" w:hint="eastAsia"/>
          <w:b/>
          <w:bCs/>
          <w:szCs w:val="21"/>
        </w:rPr>
        <w:t>进</w:t>
      </w:r>
      <w:r w:rsidR="004905C9" w:rsidRPr="00B0759D">
        <w:rPr>
          <w:rFonts w:cs="Arial"/>
          <w:b/>
          <w:bCs/>
          <w:szCs w:val="21"/>
        </w:rPr>
        <w:t>出口指数</w:t>
      </w:r>
      <w:r w:rsidR="004905C9" w:rsidRPr="00B0759D">
        <w:rPr>
          <w:rFonts w:cs="Arial" w:hint="eastAsia"/>
          <w:b/>
          <w:bCs/>
          <w:szCs w:val="21"/>
        </w:rPr>
        <w:t>延续上升趋势</w:t>
      </w:r>
      <w:r w:rsidR="004905C9">
        <w:rPr>
          <w:rFonts w:cs="Arial" w:hint="eastAsia"/>
          <w:szCs w:val="21"/>
        </w:rPr>
        <w:t>，出口方面，</w:t>
      </w:r>
      <w:r w:rsidR="004905C9" w:rsidRPr="003038DD">
        <w:rPr>
          <w:rFonts w:cs="Arial"/>
          <w:szCs w:val="21"/>
        </w:rPr>
        <w:t>CCFI</w:t>
      </w:r>
      <w:r w:rsidR="004905C9">
        <w:rPr>
          <w:rFonts w:cs="Arial" w:hint="eastAsia"/>
          <w:szCs w:val="21"/>
        </w:rPr>
        <w:t>指数和</w:t>
      </w:r>
      <w:r w:rsidR="004905C9" w:rsidRPr="003038DD">
        <w:rPr>
          <w:rFonts w:cs="Arial"/>
          <w:szCs w:val="21"/>
        </w:rPr>
        <w:t>SCFI</w:t>
      </w:r>
      <w:r w:rsidR="004905C9" w:rsidRPr="003038DD">
        <w:rPr>
          <w:rFonts w:cs="Arial"/>
          <w:szCs w:val="21"/>
        </w:rPr>
        <w:t>指数</w:t>
      </w:r>
      <w:r w:rsidR="004905C9">
        <w:rPr>
          <w:rFonts w:cs="Arial" w:hint="eastAsia"/>
          <w:szCs w:val="21"/>
        </w:rPr>
        <w:t>环比上升</w:t>
      </w:r>
      <w:r w:rsidR="004905C9">
        <w:rPr>
          <w:rFonts w:cs="Arial" w:hint="eastAsia"/>
          <w:szCs w:val="21"/>
        </w:rPr>
        <w:t>2</w:t>
      </w:r>
      <w:r w:rsidR="004905C9">
        <w:rPr>
          <w:rFonts w:cs="Arial"/>
          <w:szCs w:val="21"/>
        </w:rPr>
        <w:t>.31%</w:t>
      </w:r>
      <w:r w:rsidR="004905C9">
        <w:rPr>
          <w:rFonts w:cs="Arial" w:hint="eastAsia"/>
          <w:szCs w:val="21"/>
        </w:rPr>
        <w:t>和</w:t>
      </w:r>
      <w:r w:rsidR="004905C9">
        <w:rPr>
          <w:rFonts w:cs="Arial" w:hint="eastAsia"/>
          <w:szCs w:val="21"/>
        </w:rPr>
        <w:t>1</w:t>
      </w:r>
      <w:r w:rsidR="004905C9">
        <w:rPr>
          <w:rFonts w:cs="Arial"/>
          <w:szCs w:val="21"/>
        </w:rPr>
        <w:t>.37</w:t>
      </w:r>
      <w:r w:rsidR="004905C9">
        <w:rPr>
          <w:rFonts w:cs="Arial" w:hint="eastAsia"/>
          <w:szCs w:val="21"/>
        </w:rPr>
        <w:t>%</w:t>
      </w:r>
      <w:r w:rsidR="004905C9">
        <w:rPr>
          <w:rFonts w:cs="Arial" w:hint="eastAsia"/>
          <w:szCs w:val="21"/>
        </w:rPr>
        <w:t>。</w:t>
      </w:r>
      <w:r w:rsidR="004905C9" w:rsidRPr="003038DD">
        <w:rPr>
          <w:rFonts w:cs="Arial" w:hint="eastAsia"/>
          <w:szCs w:val="21"/>
        </w:rPr>
        <w:t>进口</w:t>
      </w:r>
      <w:r w:rsidR="004905C9">
        <w:rPr>
          <w:rFonts w:cs="Arial" w:hint="eastAsia"/>
          <w:szCs w:val="21"/>
        </w:rPr>
        <w:t>方面，</w:t>
      </w:r>
      <w:r w:rsidR="004905C9" w:rsidRPr="003038DD">
        <w:rPr>
          <w:rFonts w:cs="Arial"/>
          <w:szCs w:val="21"/>
        </w:rPr>
        <w:t>BDI</w:t>
      </w:r>
      <w:r w:rsidR="004905C9" w:rsidRPr="003038DD">
        <w:rPr>
          <w:rFonts w:cs="Arial"/>
          <w:szCs w:val="21"/>
        </w:rPr>
        <w:t>和</w:t>
      </w:r>
      <w:r w:rsidR="004905C9" w:rsidRPr="003038DD">
        <w:rPr>
          <w:rFonts w:cs="Arial"/>
          <w:szCs w:val="21"/>
        </w:rPr>
        <w:t>CDFI</w:t>
      </w:r>
      <w:r w:rsidR="004905C9" w:rsidRPr="003038DD">
        <w:rPr>
          <w:rFonts w:cs="Arial"/>
          <w:szCs w:val="21"/>
        </w:rPr>
        <w:t>指数环比</w:t>
      </w:r>
      <w:r w:rsidR="004905C9">
        <w:rPr>
          <w:rFonts w:cs="Arial" w:hint="eastAsia"/>
          <w:szCs w:val="21"/>
        </w:rPr>
        <w:t>上升</w:t>
      </w:r>
      <w:r w:rsidR="004905C9">
        <w:rPr>
          <w:rFonts w:cs="Arial"/>
          <w:szCs w:val="21"/>
        </w:rPr>
        <w:t>14.75</w:t>
      </w:r>
      <w:r w:rsidR="004905C9">
        <w:rPr>
          <w:rFonts w:cs="Arial" w:hint="eastAsia"/>
          <w:szCs w:val="21"/>
        </w:rPr>
        <w:t>%</w:t>
      </w:r>
      <w:r w:rsidR="004905C9" w:rsidRPr="003038DD">
        <w:rPr>
          <w:rFonts w:cs="Arial" w:hint="eastAsia"/>
          <w:szCs w:val="21"/>
        </w:rPr>
        <w:t>和</w:t>
      </w:r>
      <w:r w:rsidR="004905C9">
        <w:rPr>
          <w:rFonts w:cs="Arial"/>
          <w:szCs w:val="21"/>
        </w:rPr>
        <w:t>6.60</w:t>
      </w:r>
      <w:r w:rsidR="004905C9">
        <w:rPr>
          <w:rFonts w:cs="Arial" w:hint="eastAsia"/>
          <w:szCs w:val="21"/>
        </w:rPr>
        <w:t>%</w:t>
      </w:r>
      <w:r w:rsidR="004905C9">
        <w:rPr>
          <w:rFonts w:cs="Arial" w:hint="eastAsia"/>
          <w:szCs w:val="21"/>
        </w:rPr>
        <w:t>，</w:t>
      </w:r>
      <w:r w:rsidR="004905C9">
        <w:rPr>
          <w:rFonts w:cs="Arial" w:hint="eastAsia"/>
          <w:szCs w:val="21"/>
        </w:rPr>
        <w:t>B</w:t>
      </w:r>
      <w:r w:rsidR="004905C9">
        <w:rPr>
          <w:rFonts w:cs="Arial"/>
          <w:szCs w:val="21"/>
        </w:rPr>
        <w:t>DI</w:t>
      </w:r>
      <w:r w:rsidR="004905C9">
        <w:rPr>
          <w:rFonts w:cs="Arial" w:hint="eastAsia"/>
          <w:szCs w:val="21"/>
        </w:rPr>
        <w:t>指数创</w:t>
      </w:r>
      <w:r w:rsidR="007851A6">
        <w:rPr>
          <w:rFonts w:cs="Arial" w:hint="eastAsia"/>
          <w:szCs w:val="21"/>
        </w:rPr>
        <w:t>1</w:t>
      </w:r>
      <w:r w:rsidR="007851A6">
        <w:rPr>
          <w:rFonts w:cs="Arial"/>
          <w:szCs w:val="21"/>
        </w:rPr>
        <w:t>1</w:t>
      </w:r>
      <w:r w:rsidR="004905C9">
        <w:rPr>
          <w:rFonts w:cs="Arial" w:hint="eastAsia"/>
          <w:szCs w:val="21"/>
        </w:rPr>
        <w:t>年新高。</w:t>
      </w:r>
      <w:r w:rsidR="004905C9" w:rsidRPr="0073381C">
        <w:rPr>
          <w:rFonts w:cs="Arial"/>
          <w:szCs w:val="21"/>
        </w:rPr>
        <w:t>由于疫情影响，中澳两大主要散货船进出国相继开始加强船舶管控，全球近</w:t>
      </w:r>
      <w:r w:rsidR="004905C9" w:rsidRPr="0073381C">
        <w:rPr>
          <w:rFonts w:cs="Arial"/>
          <w:szCs w:val="21"/>
        </w:rPr>
        <w:t>3000</w:t>
      </w:r>
      <w:r w:rsidR="004905C9" w:rsidRPr="0073381C">
        <w:rPr>
          <w:rFonts w:cs="Arial"/>
          <w:szCs w:val="21"/>
        </w:rPr>
        <w:t>艘散货船陷入拥堵。</w:t>
      </w:r>
      <w:r w:rsidR="00134901">
        <w:rPr>
          <w:rFonts w:cs="Arial" w:hint="eastAsia"/>
          <w:szCs w:val="21"/>
        </w:rPr>
        <w:t>叠加</w:t>
      </w:r>
      <w:r w:rsidR="004905C9" w:rsidRPr="00E7726E">
        <w:rPr>
          <w:rFonts w:cs="Arial" w:hint="eastAsia"/>
          <w:szCs w:val="21"/>
        </w:rPr>
        <w:t>近期台风</w:t>
      </w:r>
      <w:r w:rsidR="00134901">
        <w:rPr>
          <w:rFonts w:cs="Arial" w:hint="eastAsia"/>
          <w:szCs w:val="21"/>
        </w:rPr>
        <w:t>频发，</w:t>
      </w:r>
      <w:r w:rsidR="004905C9" w:rsidRPr="00E7726E">
        <w:rPr>
          <w:rFonts w:cs="Arial" w:hint="eastAsia"/>
          <w:szCs w:val="21"/>
        </w:rPr>
        <w:t>多港口停止营运，影响装卸效率，进一步加剧了运力紧张问题。</w:t>
      </w:r>
    </w:p>
    <w:tbl>
      <w:tblPr>
        <w:tblStyle w:val="af"/>
        <w:tblW w:w="10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20"/>
      </w:tblGrid>
      <w:tr w:rsidR="004905C9" w:rsidRPr="00D85A79" w14:paraId="6EFD6DEF" w14:textId="77777777" w:rsidTr="00883778">
        <w:trPr>
          <w:trHeight w:val="113"/>
        </w:trPr>
        <w:tc>
          <w:tcPr>
            <w:tcW w:w="10420" w:type="dxa"/>
            <w:tcBorders>
              <w:top w:val="single" w:sz="12" w:space="0" w:color="C00000"/>
              <w:bottom w:val="single" w:sz="2" w:space="0" w:color="C00000"/>
            </w:tcBorders>
            <w:shd w:val="clear" w:color="auto" w:fill="auto"/>
          </w:tcPr>
          <w:p w14:paraId="22D5612B" w14:textId="7AE62960" w:rsidR="004905C9" w:rsidRPr="00D85A79" w:rsidRDefault="004905C9" w:rsidP="00883778">
            <w:pPr>
              <w:rPr>
                <w:rFonts w:cs="Arial"/>
                <w:b/>
                <w:i/>
                <w:color w:val="C00000"/>
              </w:rPr>
            </w:pPr>
            <w:bookmarkStart w:id="32" w:name="_Toc73913245"/>
            <w:bookmarkStart w:id="33" w:name="_Toc76232406"/>
            <w:bookmarkStart w:id="34" w:name="_Toc77436415"/>
            <w:bookmarkStart w:id="35" w:name="_Toc77446362"/>
            <w:bookmarkStart w:id="36" w:name="_Toc78639991"/>
            <w:bookmarkStart w:id="37" w:name="_Toc78661093"/>
            <w:bookmarkStart w:id="38" w:name="_Toc80478242"/>
            <w:r w:rsidRPr="00D85A79">
              <w:rPr>
                <w:rFonts w:cs="Arial" w:hint="eastAsia"/>
                <w:b/>
                <w:i/>
                <w:color w:val="C00000"/>
              </w:rPr>
              <w:lastRenderedPageBreak/>
              <w:t>图表</w:t>
            </w:r>
            <w:r w:rsidRPr="00D85A79">
              <w:rPr>
                <w:rFonts w:cs="Arial"/>
                <w:b/>
                <w:i/>
                <w:color w:val="C00000"/>
              </w:rPr>
              <w:fldChar w:fldCharType="begin"/>
            </w:r>
            <w:r w:rsidRPr="00D85A79">
              <w:rPr>
                <w:rFonts w:cs="Arial"/>
                <w:b/>
                <w:i/>
                <w:color w:val="C00000"/>
              </w:rPr>
              <w:instrText xml:space="preserve"> </w:instrText>
            </w:r>
            <w:r w:rsidRPr="00D85A79">
              <w:rPr>
                <w:rFonts w:cs="Arial" w:hint="eastAsia"/>
                <w:b/>
                <w:i/>
                <w:color w:val="C00000"/>
              </w:rPr>
              <w:instrText xml:space="preserve">SEQ </w:instrText>
            </w:r>
            <w:r w:rsidRPr="00D85A79">
              <w:rPr>
                <w:rFonts w:cs="Arial" w:hint="eastAsia"/>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8</w:t>
            </w:r>
            <w:r w:rsidRPr="00D85A79">
              <w:rPr>
                <w:rFonts w:cs="Arial"/>
                <w:b/>
                <w:i/>
                <w:color w:val="C00000"/>
              </w:rPr>
              <w:fldChar w:fldCharType="end"/>
            </w:r>
            <w:r w:rsidRPr="00D85A79">
              <w:rPr>
                <w:rFonts w:cs="Arial" w:hint="eastAsia"/>
                <w:b/>
                <w:i/>
                <w:color w:val="C00000"/>
              </w:rPr>
              <w:t>：需求端主要高频数据</w:t>
            </w:r>
            <w:bookmarkEnd w:id="32"/>
            <w:bookmarkEnd w:id="33"/>
            <w:bookmarkEnd w:id="34"/>
            <w:bookmarkEnd w:id="35"/>
            <w:bookmarkEnd w:id="36"/>
            <w:bookmarkEnd w:id="37"/>
            <w:bookmarkEnd w:id="38"/>
          </w:p>
        </w:tc>
      </w:tr>
      <w:tr w:rsidR="004905C9" w:rsidRPr="00D85A79" w14:paraId="301CC354" w14:textId="77777777" w:rsidTr="00883778">
        <w:trPr>
          <w:trHeight w:val="51"/>
        </w:trPr>
        <w:tc>
          <w:tcPr>
            <w:tcW w:w="10420" w:type="dxa"/>
            <w:tcBorders>
              <w:top w:val="nil"/>
              <w:left w:val="nil"/>
              <w:bottom w:val="nil"/>
              <w:right w:val="nil"/>
            </w:tcBorders>
            <w:shd w:val="clear" w:color="auto" w:fill="auto"/>
            <w:vAlign w:val="center"/>
          </w:tcPr>
          <w:tbl>
            <w:tblPr>
              <w:tblW w:w="10253" w:type="dxa"/>
              <w:tblLayout w:type="fixed"/>
              <w:tblLook w:val="04A0" w:firstRow="1" w:lastRow="0" w:firstColumn="1" w:lastColumn="0" w:noHBand="0" w:noVBand="1"/>
            </w:tblPr>
            <w:tblGrid>
              <w:gridCol w:w="770"/>
              <w:gridCol w:w="3949"/>
              <w:gridCol w:w="988"/>
              <w:gridCol w:w="730"/>
              <w:gridCol w:w="804"/>
              <w:gridCol w:w="964"/>
              <w:gridCol w:w="902"/>
              <w:gridCol w:w="1146"/>
            </w:tblGrid>
            <w:tr w:rsidR="004905C9" w:rsidRPr="00D85A79" w14:paraId="4E9145FF" w14:textId="77777777" w:rsidTr="00883778">
              <w:trPr>
                <w:trHeight w:val="225"/>
              </w:trPr>
              <w:tc>
                <w:tcPr>
                  <w:tcW w:w="375" w:type="pct"/>
                  <w:tcBorders>
                    <w:top w:val="single" w:sz="8" w:space="0" w:color="C0002E"/>
                    <w:left w:val="nil"/>
                    <w:bottom w:val="single" w:sz="4" w:space="0" w:color="C0504D"/>
                    <w:right w:val="nil"/>
                  </w:tcBorders>
                  <w:shd w:val="clear" w:color="000000" w:fill="C0504D"/>
                  <w:noWrap/>
                  <w:vAlign w:val="center"/>
                </w:tcPr>
                <w:p w14:paraId="0B6F5653"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大类</w:t>
                  </w:r>
                </w:p>
              </w:tc>
              <w:tc>
                <w:tcPr>
                  <w:tcW w:w="1926" w:type="pct"/>
                  <w:tcBorders>
                    <w:top w:val="single" w:sz="8" w:space="0" w:color="C0002E"/>
                    <w:left w:val="nil"/>
                    <w:bottom w:val="single" w:sz="4" w:space="0" w:color="C0504D"/>
                    <w:right w:val="nil"/>
                  </w:tcBorders>
                  <w:shd w:val="clear" w:color="000000" w:fill="C0504D"/>
                  <w:noWrap/>
                  <w:vAlign w:val="center"/>
                </w:tcPr>
                <w:p w14:paraId="494F623A"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指标名称</w:t>
                  </w:r>
                </w:p>
              </w:tc>
              <w:tc>
                <w:tcPr>
                  <w:tcW w:w="482" w:type="pct"/>
                  <w:tcBorders>
                    <w:top w:val="single" w:sz="8" w:space="0" w:color="C0002E"/>
                    <w:left w:val="nil"/>
                    <w:bottom w:val="single" w:sz="4" w:space="0" w:color="C0504D"/>
                    <w:right w:val="nil"/>
                  </w:tcBorders>
                  <w:shd w:val="clear" w:color="000000" w:fill="C0504D"/>
                  <w:noWrap/>
                  <w:vAlign w:val="center"/>
                </w:tcPr>
                <w:p w14:paraId="05782E21"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本周值</w:t>
                  </w:r>
                </w:p>
              </w:tc>
              <w:tc>
                <w:tcPr>
                  <w:tcW w:w="356" w:type="pct"/>
                  <w:tcBorders>
                    <w:top w:val="single" w:sz="8" w:space="0" w:color="C0002E"/>
                    <w:left w:val="nil"/>
                    <w:bottom w:val="single" w:sz="4" w:space="0" w:color="C0504D"/>
                    <w:right w:val="nil"/>
                  </w:tcBorders>
                  <w:shd w:val="clear" w:color="000000" w:fill="C0504D"/>
                  <w:noWrap/>
                  <w:vAlign w:val="center"/>
                </w:tcPr>
                <w:p w14:paraId="6E8E6068"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本周环比</w:t>
                  </w:r>
                  <w:r>
                    <w:rPr>
                      <w:rFonts w:eastAsia="等线" w:cs="Arial"/>
                      <w:b/>
                      <w:bCs/>
                      <w:color w:val="FFFFFF"/>
                      <w:sz w:val="16"/>
                      <w:szCs w:val="16"/>
                    </w:rPr>
                    <w:t>(%)</w:t>
                  </w:r>
                </w:p>
              </w:tc>
              <w:tc>
                <w:tcPr>
                  <w:tcW w:w="392" w:type="pct"/>
                  <w:tcBorders>
                    <w:top w:val="single" w:sz="8" w:space="0" w:color="C0002E"/>
                    <w:left w:val="nil"/>
                    <w:bottom w:val="single" w:sz="4" w:space="0" w:color="C0504D"/>
                    <w:right w:val="nil"/>
                  </w:tcBorders>
                  <w:shd w:val="clear" w:color="000000" w:fill="C0504D"/>
                  <w:noWrap/>
                  <w:vAlign w:val="center"/>
                </w:tcPr>
                <w:p w14:paraId="67156D5D"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上周环比</w:t>
                  </w:r>
                  <w:r>
                    <w:rPr>
                      <w:rFonts w:eastAsia="等线" w:cs="Arial"/>
                      <w:b/>
                      <w:bCs/>
                      <w:color w:val="FFFFFF"/>
                      <w:sz w:val="16"/>
                      <w:szCs w:val="16"/>
                    </w:rPr>
                    <w:t>(%)</w:t>
                  </w:r>
                </w:p>
              </w:tc>
              <w:tc>
                <w:tcPr>
                  <w:tcW w:w="470" w:type="pct"/>
                  <w:tcBorders>
                    <w:top w:val="single" w:sz="8" w:space="0" w:color="C0002E"/>
                    <w:left w:val="nil"/>
                    <w:bottom w:val="single" w:sz="4" w:space="0" w:color="C0504D"/>
                    <w:right w:val="nil"/>
                  </w:tcBorders>
                  <w:shd w:val="clear" w:color="000000" w:fill="C0504D"/>
                  <w:noWrap/>
                  <w:vAlign w:val="center"/>
                </w:tcPr>
                <w:p w14:paraId="3C118517"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月初至今环比</w:t>
                  </w:r>
                  <w:r>
                    <w:rPr>
                      <w:rFonts w:eastAsia="等线" w:cs="Arial"/>
                      <w:b/>
                      <w:bCs/>
                      <w:color w:val="FFFFFF"/>
                      <w:sz w:val="16"/>
                      <w:szCs w:val="16"/>
                    </w:rPr>
                    <w:t>(%)</w:t>
                  </w:r>
                </w:p>
              </w:tc>
              <w:tc>
                <w:tcPr>
                  <w:tcW w:w="440" w:type="pct"/>
                  <w:tcBorders>
                    <w:top w:val="single" w:sz="8" w:space="0" w:color="C0002E"/>
                    <w:left w:val="nil"/>
                    <w:bottom w:val="single" w:sz="4" w:space="0" w:color="C0504D"/>
                    <w:right w:val="nil"/>
                  </w:tcBorders>
                  <w:shd w:val="clear" w:color="000000" w:fill="C0504D"/>
                  <w:noWrap/>
                  <w:vAlign w:val="center"/>
                </w:tcPr>
                <w:p w14:paraId="072BAA50"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月初至今同比</w:t>
                  </w:r>
                  <w:r>
                    <w:rPr>
                      <w:rFonts w:eastAsia="等线" w:cs="Arial"/>
                      <w:b/>
                      <w:bCs/>
                      <w:color w:val="FFFFFF"/>
                      <w:sz w:val="16"/>
                      <w:szCs w:val="16"/>
                    </w:rPr>
                    <w:t>(%)</w:t>
                  </w:r>
                </w:p>
              </w:tc>
              <w:tc>
                <w:tcPr>
                  <w:tcW w:w="559" w:type="pct"/>
                  <w:tcBorders>
                    <w:top w:val="single" w:sz="8" w:space="0" w:color="C0002E"/>
                    <w:left w:val="nil"/>
                    <w:bottom w:val="single" w:sz="4" w:space="0" w:color="C0504D"/>
                    <w:right w:val="nil"/>
                  </w:tcBorders>
                  <w:shd w:val="clear" w:color="000000" w:fill="C0504D"/>
                  <w:noWrap/>
                  <w:vAlign w:val="center"/>
                </w:tcPr>
                <w:p w14:paraId="31316235"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更新时间</w:t>
                  </w:r>
                </w:p>
              </w:tc>
            </w:tr>
            <w:tr w:rsidR="004905C9" w:rsidRPr="00D85A79" w14:paraId="0840BB02" w14:textId="77777777" w:rsidTr="00883778">
              <w:trPr>
                <w:trHeight w:val="330"/>
              </w:trPr>
              <w:tc>
                <w:tcPr>
                  <w:tcW w:w="375" w:type="pct"/>
                  <w:vMerge w:val="restart"/>
                  <w:tcBorders>
                    <w:top w:val="nil"/>
                    <w:left w:val="nil"/>
                    <w:bottom w:val="nil"/>
                    <w:right w:val="nil"/>
                  </w:tcBorders>
                  <w:shd w:val="clear" w:color="auto" w:fill="auto"/>
                  <w:vAlign w:val="center"/>
                </w:tcPr>
                <w:p w14:paraId="36373110" w14:textId="77777777" w:rsidR="004905C9" w:rsidRPr="007F5144" w:rsidRDefault="004905C9" w:rsidP="00883778">
                  <w:pPr>
                    <w:widowControl/>
                    <w:jc w:val="center"/>
                    <w:rPr>
                      <w:rFonts w:eastAsia="等线" w:cs="Arial"/>
                      <w:color w:val="000000"/>
                      <w:kern w:val="0"/>
                      <w:sz w:val="16"/>
                      <w:szCs w:val="16"/>
                      <w:highlight w:val="yellow"/>
                    </w:rPr>
                  </w:pPr>
                  <w:r>
                    <w:rPr>
                      <w:rFonts w:ascii="华文楷体" w:eastAsia="华文楷体" w:hAnsi="华文楷体" w:cs="Arial" w:hint="eastAsia"/>
                      <w:color w:val="000000"/>
                      <w:sz w:val="16"/>
                      <w:szCs w:val="16"/>
                    </w:rPr>
                    <w:t>商品房</w:t>
                  </w:r>
                  <w:r>
                    <w:rPr>
                      <w:rFonts w:eastAsia="等线" w:cs="Arial"/>
                      <w:color w:val="000000"/>
                      <w:sz w:val="16"/>
                      <w:szCs w:val="16"/>
                    </w:rPr>
                    <w:t xml:space="preserve">  </w:t>
                  </w:r>
                  <w:r>
                    <w:rPr>
                      <w:rFonts w:ascii="华文楷体" w:eastAsia="华文楷体" w:hAnsi="华文楷体" w:cs="Arial" w:hint="eastAsia"/>
                      <w:color w:val="000000"/>
                      <w:sz w:val="16"/>
                      <w:szCs w:val="16"/>
                    </w:rPr>
                    <w:t>销售</w:t>
                  </w:r>
                </w:p>
              </w:tc>
              <w:tc>
                <w:tcPr>
                  <w:tcW w:w="1926" w:type="pct"/>
                  <w:tcBorders>
                    <w:top w:val="nil"/>
                    <w:left w:val="nil"/>
                    <w:bottom w:val="nil"/>
                    <w:right w:val="nil"/>
                  </w:tcBorders>
                  <w:shd w:val="clear" w:color="auto" w:fill="auto"/>
                  <w:noWrap/>
                  <w:vAlign w:val="center"/>
                </w:tcPr>
                <w:p w14:paraId="7E61FC1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30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商品房成交面积（万方）</w:t>
                  </w:r>
                </w:p>
              </w:tc>
              <w:tc>
                <w:tcPr>
                  <w:tcW w:w="482" w:type="pct"/>
                  <w:tcBorders>
                    <w:top w:val="nil"/>
                    <w:left w:val="nil"/>
                    <w:bottom w:val="nil"/>
                    <w:right w:val="nil"/>
                  </w:tcBorders>
                  <w:shd w:val="clear" w:color="000000" w:fill="DDEBF7"/>
                  <w:noWrap/>
                  <w:vAlign w:val="center"/>
                </w:tcPr>
                <w:p w14:paraId="1010F0E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268.47 </w:t>
                  </w:r>
                </w:p>
              </w:tc>
              <w:tc>
                <w:tcPr>
                  <w:tcW w:w="356" w:type="pct"/>
                  <w:tcBorders>
                    <w:top w:val="nil"/>
                    <w:left w:val="nil"/>
                    <w:bottom w:val="nil"/>
                    <w:right w:val="nil"/>
                  </w:tcBorders>
                  <w:shd w:val="clear" w:color="000000" w:fill="E2EFDA"/>
                  <w:noWrap/>
                  <w:vAlign w:val="center"/>
                </w:tcPr>
                <w:p w14:paraId="74F75D3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-5.03 </w:t>
                  </w:r>
                </w:p>
              </w:tc>
              <w:tc>
                <w:tcPr>
                  <w:tcW w:w="392" w:type="pct"/>
                  <w:tcBorders>
                    <w:top w:val="nil"/>
                    <w:left w:val="nil"/>
                    <w:bottom w:val="nil"/>
                    <w:right w:val="nil"/>
                  </w:tcBorders>
                  <w:shd w:val="clear" w:color="000000" w:fill="E2EFDA"/>
                  <w:noWrap/>
                  <w:vAlign w:val="center"/>
                </w:tcPr>
                <w:p w14:paraId="50C095E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-8.82 </w:t>
                  </w:r>
                </w:p>
              </w:tc>
              <w:tc>
                <w:tcPr>
                  <w:tcW w:w="470" w:type="pct"/>
                  <w:tcBorders>
                    <w:top w:val="nil"/>
                    <w:left w:val="nil"/>
                    <w:bottom w:val="nil"/>
                    <w:right w:val="nil"/>
                  </w:tcBorders>
                  <w:shd w:val="clear" w:color="000000" w:fill="E2EFDA"/>
                  <w:noWrap/>
                  <w:vAlign w:val="center"/>
                </w:tcPr>
                <w:p w14:paraId="0744516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-31.58 </w:t>
                  </w:r>
                </w:p>
              </w:tc>
              <w:tc>
                <w:tcPr>
                  <w:tcW w:w="440" w:type="pct"/>
                  <w:tcBorders>
                    <w:top w:val="nil"/>
                    <w:left w:val="nil"/>
                    <w:bottom w:val="nil"/>
                    <w:right w:val="nil"/>
                  </w:tcBorders>
                  <w:shd w:val="clear" w:color="000000" w:fill="E2EFDA"/>
                  <w:noWrap/>
                  <w:vAlign w:val="center"/>
                </w:tcPr>
                <w:p w14:paraId="62F2DD7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-22.72 </w:t>
                  </w:r>
                </w:p>
              </w:tc>
              <w:tc>
                <w:tcPr>
                  <w:tcW w:w="559" w:type="pct"/>
                  <w:tcBorders>
                    <w:top w:val="nil"/>
                    <w:left w:val="nil"/>
                    <w:bottom w:val="nil"/>
                    <w:right w:val="nil"/>
                  </w:tcBorders>
                  <w:shd w:val="clear" w:color="auto" w:fill="auto"/>
                  <w:noWrap/>
                  <w:vAlign w:val="center"/>
                </w:tcPr>
                <w:p w14:paraId="1A27E9C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39D7BE08" w14:textId="77777777" w:rsidTr="00883778">
              <w:trPr>
                <w:trHeight w:val="315"/>
              </w:trPr>
              <w:tc>
                <w:tcPr>
                  <w:tcW w:w="375" w:type="pct"/>
                  <w:vMerge/>
                  <w:tcBorders>
                    <w:top w:val="nil"/>
                    <w:left w:val="nil"/>
                    <w:bottom w:val="nil"/>
                    <w:right w:val="nil"/>
                  </w:tcBorders>
                  <w:vAlign w:val="center"/>
                </w:tcPr>
                <w:p w14:paraId="36530049"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nil"/>
                    <w:right w:val="nil"/>
                  </w:tcBorders>
                  <w:shd w:val="clear" w:color="auto" w:fill="auto"/>
                  <w:noWrap/>
                  <w:vAlign w:val="center"/>
                </w:tcPr>
                <w:p w14:paraId="293ED21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30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商品房成交面积</w:t>
                  </w:r>
                  <w:r>
                    <w:rPr>
                      <w:rFonts w:eastAsia="等线" w:cs="Arial"/>
                      <w:color w:val="000000"/>
                      <w:sz w:val="16"/>
                      <w:szCs w:val="16"/>
                    </w:rPr>
                    <w:t>:</w:t>
                  </w:r>
                  <w:r>
                    <w:rPr>
                      <w:rFonts w:ascii="华文楷体" w:eastAsia="华文楷体" w:hAnsi="华文楷体" w:cs="Arial" w:hint="eastAsia"/>
                      <w:color w:val="000000"/>
                      <w:sz w:val="16"/>
                      <w:szCs w:val="16"/>
                    </w:rPr>
                    <w:t>一线城市（万方）</w:t>
                  </w:r>
                </w:p>
              </w:tc>
              <w:tc>
                <w:tcPr>
                  <w:tcW w:w="482" w:type="pct"/>
                  <w:tcBorders>
                    <w:top w:val="nil"/>
                    <w:left w:val="nil"/>
                    <w:bottom w:val="nil"/>
                    <w:right w:val="nil"/>
                  </w:tcBorders>
                  <w:shd w:val="clear" w:color="000000" w:fill="DDEBF7"/>
                  <w:noWrap/>
                  <w:vAlign w:val="center"/>
                </w:tcPr>
                <w:p w14:paraId="6A0E0FC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87.33 </w:t>
                  </w:r>
                </w:p>
              </w:tc>
              <w:tc>
                <w:tcPr>
                  <w:tcW w:w="356" w:type="pct"/>
                  <w:tcBorders>
                    <w:top w:val="nil"/>
                    <w:left w:val="nil"/>
                    <w:bottom w:val="nil"/>
                    <w:right w:val="nil"/>
                  </w:tcBorders>
                  <w:shd w:val="clear" w:color="000000" w:fill="FDDCD5"/>
                  <w:noWrap/>
                  <w:vAlign w:val="center"/>
                </w:tcPr>
                <w:p w14:paraId="387FF5D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4.15 </w:t>
                  </w:r>
                </w:p>
              </w:tc>
              <w:tc>
                <w:tcPr>
                  <w:tcW w:w="392" w:type="pct"/>
                  <w:tcBorders>
                    <w:top w:val="nil"/>
                    <w:left w:val="nil"/>
                    <w:bottom w:val="nil"/>
                    <w:right w:val="nil"/>
                  </w:tcBorders>
                  <w:shd w:val="clear" w:color="000000" w:fill="FDDCD5"/>
                  <w:noWrap/>
                  <w:vAlign w:val="center"/>
                </w:tcPr>
                <w:p w14:paraId="2007544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12.21 </w:t>
                  </w:r>
                </w:p>
              </w:tc>
              <w:tc>
                <w:tcPr>
                  <w:tcW w:w="470" w:type="pct"/>
                  <w:tcBorders>
                    <w:top w:val="nil"/>
                    <w:left w:val="nil"/>
                    <w:bottom w:val="nil"/>
                    <w:right w:val="nil"/>
                  </w:tcBorders>
                  <w:shd w:val="clear" w:color="000000" w:fill="FDDCD5"/>
                  <w:noWrap/>
                  <w:vAlign w:val="center"/>
                </w:tcPr>
                <w:p w14:paraId="54392ED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0.67 </w:t>
                  </w:r>
                </w:p>
              </w:tc>
              <w:tc>
                <w:tcPr>
                  <w:tcW w:w="440" w:type="pct"/>
                  <w:tcBorders>
                    <w:top w:val="nil"/>
                    <w:left w:val="nil"/>
                    <w:bottom w:val="nil"/>
                    <w:right w:val="nil"/>
                  </w:tcBorders>
                  <w:shd w:val="clear" w:color="000000" w:fill="FDDCD5"/>
                  <w:noWrap/>
                  <w:vAlign w:val="center"/>
                </w:tcPr>
                <w:p w14:paraId="30C5C78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4.30 </w:t>
                  </w:r>
                </w:p>
              </w:tc>
              <w:tc>
                <w:tcPr>
                  <w:tcW w:w="559" w:type="pct"/>
                  <w:tcBorders>
                    <w:top w:val="nil"/>
                    <w:left w:val="nil"/>
                    <w:bottom w:val="nil"/>
                    <w:right w:val="nil"/>
                  </w:tcBorders>
                  <w:shd w:val="clear" w:color="auto" w:fill="auto"/>
                  <w:noWrap/>
                  <w:vAlign w:val="center"/>
                </w:tcPr>
                <w:p w14:paraId="2E84DB2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7FB373C7" w14:textId="77777777" w:rsidTr="00883778">
              <w:trPr>
                <w:trHeight w:val="315"/>
              </w:trPr>
              <w:tc>
                <w:tcPr>
                  <w:tcW w:w="375" w:type="pct"/>
                  <w:vMerge/>
                  <w:tcBorders>
                    <w:top w:val="nil"/>
                    <w:left w:val="nil"/>
                    <w:bottom w:val="nil"/>
                    <w:right w:val="nil"/>
                  </w:tcBorders>
                  <w:vAlign w:val="center"/>
                </w:tcPr>
                <w:p w14:paraId="24A21D76"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nil"/>
                    <w:right w:val="nil"/>
                  </w:tcBorders>
                  <w:shd w:val="clear" w:color="auto" w:fill="auto"/>
                  <w:noWrap/>
                  <w:vAlign w:val="center"/>
                </w:tcPr>
                <w:p w14:paraId="7A51089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30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商品房成交面积</w:t>
                  </w:r>
                  <w:r>
                    <w:rPr>
                      <w:rFonts w:eastAsia="等线" w:cs="Arial"/>
                      <w:color w:val="000000"/>
                      <w:sz w:val="16"/>
                      <w:szCs w:val="16"/>
                    </w:rPr>
                    <w:t>:</w:t>
                  </w:r>
                  <w:r>
                    <w:rPr>
                      <w:rFonts w:ascii="华文楷体" w:eastAsia="华文楷体" w:hAnsi="华文楷体" w:cs="Arial" w:hint="eastAsia"/>
                      <w:color w:val="000000"/>
                      <w:sz w:val="16"/>
                      <w:szCs w:val="16"/>
                    </w:rPr>
                    <w:t>二线城市（万方）</w:t>
                  </w:r>
                </w:p>
              </w:tc>
              <w:tc>
                <w:tcPr>
                  <w:tcW w:w="482" w:type="pct"/>
                  <w:tcBorders>
                    <w:top w:val="nil"/>
                    <w:left w:val="nil"/>
                    <w:bottom w:val="nil"/>
                    <w:right w:val="nil"/>
                  </w:tcBorders>
                  <w:shd w:val="clear" w:color="000000" w:fill="DDEBF7"/>
                  <w:noWrap/>
                  <w:vAlign w:val="center"/>
                </w:tcPr>
                <w:p w14:paraId="11C26E3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109.37 </w:t>
                  </w:r>
                </w:p>
              </w:tc>
              <w:tc>
                <w:tcPr>
                  <w:tcW w:w="356" w:type="pct"/>
                  <w:tcBorders>
                    <w:top w:val="nil"/>
                    <w:left w:val="nil"/>
                    <w:bottom w:val="nil"/>
                    <w:right w:val="nil"/>
                  </w:tcBorders>
                  <w:shd w:val="clear" w:color="000000" w:fill="E2EFDA"/>
                  <w:noWrap/>
                  <w:vAlign w:val="center"/>
                </w:tcPr>
                <w:p w14:paraId="6B0A9E5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-13.03 </w:t>
                  </w:r>
                </w:p>
              </w:tc>
              <w:tc>
                <w:tcPr>
                  <w:tcW w:w="392" w:type="pct"/>
                  <w:tcBorders>
                    <w:top w:val="nil"/>
                    <w:left w:val="nil"/>
                    <w:bottom w:val="nil"/>
                    <w:right w:val="nil"/>
                  </w:tcBorders>
                  <w:shd w:val="clear" w:color="000000" w:fill="E2EFDA"/>
                  <w:noWrap/>
                  <w:vAlign w:val="center"/>
                </w:tcPr>
                <w:p w14:paraId="1168C36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-16.25 </w:t>
                  </w:r>
                </w:p>
              </w:tc>
              <w:tc>
                <w:tcPr>
                  <w:tcW w:w="470" w:type="pct"/>
                  <w:tcBorders>
                    <w:top w:val="nil"/>
                    <w:left w:val="nil"/>
                    <w:bottom w:val="nil"/>
                    <w:right w:val="nil"/>
                  </w:tcBorders>
                  <w:shd w:val="clear" w:color="000000" w:fill="E2EFDA"/>
                  <w:noWrap/>
                  <w:vAlign w:val="center"/>
                </w:tcPr>
                <w:p w14:paraId="7B1CF39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-46.44 </w:t>
                  </w:r>
                </w:p>
              </w:tc>
              <w:tc>
                <w:tcPr>
                  <w:tcW w:w="440" w:type="pct"/>
                  <w:tcBorders>
                    <w:top w:val="nil"/>
                    <w:left w:val="nil"/>
                    <w:bottom w:val="nil"/>
                    <w:right w:val="nil"/>
                  </w:tcBorders>
                  <w:shd w:val="clear" w:color="000000" w:fill="E2EFDA"/>
                  <w:noWrap/>
                  <w:vAlign w:val="center"/>
                </w:tcPr>
                <w:p w14:paraId="20BA22B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-24.47 </w:t>
                  </w:r>
                </w:p>
              </w:tc>
              <w:tc>
                <w:tcPr>
                  <w:tcW w:w="559" w:type="pct"/>
                  <w:tcBorders>
                    <w:top w:val="nil"/>
                    <w:left w:val="nil"/>
                    <w:bottom w:val="nil"/>
                    <w:right w:val="nil"/>
                  </w:tcBorders>
                  <w:shd w:val="clear" w:color="auto" w:fill="auto"/>
                  <w:noWrap/>
                  <w:vAlign w:val="center"/>
                </w:tcPr>
                <w:p w14:paraId="1FD3140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5FA560E0" w14:textId="77777777" w:rsidTr="00883778">
              <w:trPr>
                <w:trHeight w:val="315"/>
              </w:trPr>
              <w:tc>
                <w:tcPr>
                  <w:tcW w:w="375" w:type="pct"/>
                  <w:vMerge/>
                  <w:tcBorders>
                    <w:top w:val="nil"/>
                    <w:left w:val="nil"/>
                    <w:bottom w:val="nil"/>
                    <w:right w:val="nil"/>
                  </w:tcBorders>
                  <w:vAlign w:val="center"/>
                </w:tcPr>
                <w:p w14:paraId="226D9E71"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single" w:sz="4" w:space="0" w:color="auto"/>
                    <w:right w:val="nil"/>
                  </w:tcBorders>
                  <w:shd w:val="clear" w:color="auto" w:fill="auto"/>
                  <w:noWrap/>
                  <w:vAlign w:val="center"/>
                </w:tcPr>
                <w:p w14:paraId="6264265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30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商品房成交面积</w:t>
                  </w:r>
                  <w:r>
                    <w:rPr>
                      <w:rFonts w:eastAsia="等线" w:cs="Arial"/>
                      <w:color w:val="000000"/>
                      <w:sz w:val="16"/>
                      <w:szCs w:val="16"/>
                    </w:rPr>
                    <w:t>:</w:t>
                  </w:r>
                  <w:r>
                    <w:rPr>
                      <w:rFonts w:ascii="华文楷体" w:eastAsia="华文楷体" w:hAnsi="华文楷体" w:cs="Arial" w:hint="eastAsia"/>
                      <w:color w:val="000000"/>
                      <w:sz w:val="16"/>
                      <w:szCs w:val="16"/>
                    </w:rPr>
                    <w:t>三线城市（万方）</w:t>
                  </w:r>
                </w:p>
              </w:tc>
              <w:tc>
                <w:tcPr>
                  <w:tcW w:w="482" w:type="pct"/>
                  <w:tcBorders>
                    <w:top w:val="nil"/>
                    <w:left w:val="nil"/>
                    <w:bottom w:val="single" w:sz="4" w:space="0" w:color="auto"/>
                    <w:right w:val="nil"/>
                  </w:tcBorders>
                  <w:shd w:val="clear" w:color="000000" w:fill="DDEBF7"/>
                  <w:noWrap/>
                  <w:vAlign w:val="center"/>
                </w:tcPr>
                <w:p w14:paraId="3720013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71.76 </w:t>
                  </w:r>
                </w:p>
              </w:tc>
              <w:tc>
                <w:tcPr>
                  <w:tcW w:w="356" w:type="pct"/>
                  <w:tcBorders>
                    <w:top w:val="nil"/>
                    <w:left w:val="nil"/>
                    <w:bottom w:val="single" w:sz="4" w:space="0" w:color="auto"/>
                    <w:right w:val="nil"/>
                  </w:tcBorders>
                  <w:shd w:val="clear" w:color="000000" w:fill="E2EFDA"/>
                  <w:noWrap/>
                  <w:vAlign w:val="center"/>
                </w:tcPr>
                <w:p w14:paraId="61DC8A5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-1.80 </w:t>
                  </w:r>
                </w:p>
              </w:tc>
              <w:tc>
                <w:tcPr>
                  <w:tcW w:w="392" w:type="pct"/>
                  <w:tcBorders>
                    <w:top w:val="nil"/>
                    <w:left w:val="nil"/>
                    <w:bottom w:val="single" w:sz="4" w:space="0" w:color="auto"/>
                    <w:right w:val="nil"/>
                  </w:tcBorders>
                  <w:shd w:val="clear" w:color="000000" w:fill="E2EFDA"/>
                  <w:noWrap/>
                  <w:vAlign w:val="center"/>
                </w:tcPr>
                <w:p w14:paraId="64B48EF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-14.18 </w:t>
                  </w:r>
                </w:p>
              </w:tc>
              <w:tc>
                <w:tcPr>
                  <w:tcW w:w="470" w:type="pct"/>
                  <w:tcBorders>
                    <w:top w:val="nil"/>
                    <w:left w:val="nil"/>
                    <w:bottom w:val="single" w:sz="4" w:space="0" w:color="auto"/>
                    <w:right w:val="nil"/>
                  </w:tcBorders>
                  <w:shd w:val="clear" w:color="000000" w:fill="E2EFDA"/>
                  <w:noWrap/>
                  <w:vAlign w:val="center"/>
                </w:tcPr>
                <w:p w14:paraId="7DDC6AC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-23.61 </w:t>
                  </w:r>
                </w:p>
              </w:tc>
              <w:tc>
                <w:tcPr>
                  <w:tcW w:w="440" w:type="pct"/>
                  <w:tcBorders>
                    <w:top w:val="nil"/>
                    <w:left w:val="nil"/>
                    <w:bottom w:val="single" w:sz="4" w:space="0" w:color="auto"/>
                    <w:right w:val="nil"/>
                  </w:tcBorders>
                  <w:shd w:val="clear" w:color="000000" w:fill="E2EFDA"/>
                  <w:noWrap/>
                  <w:vAlign w:val="center"/>
                </w:tcPr>
                <w:p w14:paraId="0BF902C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-38.11 </w:t>
                  </w:r>
                </w:p>
              </w:tc>
              <w:tc>
                <w:tcPr>
                  <w:tcW w:w="559" w:type="pct"/>
                  <w:tcBorders>
                    <w:top w:val="nil"/>
                    <w:left w:val="nil"/>
                    <w:bottom w:val="single" w:sz="4" w:space="0" w:color="auto"/>
                    <w:right w:val="nil"/>
                  </w:tcBorders>
                  <w:shd w:val="clear" w:color="auto" w:fill="auto"/>
                  <w:noWrap/>
                  <w:vAlign w:val="center"/>
                </w:tcPr>
                <w:p w14:paraId="6AEB4AE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1DEE207C" w14:textId="77777777" w:rsidTr="00883778">
              <w:trPr>
                <w:trHeight w:val="315"/>
              </w:trPr>
              <w:tc>
                <w:tcPr>
                  <w:tcW w:w="375" w:type="pct"/>
                  <w:vMerge w:val="restart"/>
                  <w:tcBorders>
                    <w:top w:val="single" w:sz="4" w:space="0" w:color="auto"/>
                    <w:left w:val="nil"/>
                    <w:bottom w:val="single" w:sz="4" w:space="0" w:color="000000"/>
                    <w:right w:val="nil"/>
                  </w:tcBorders>
                  <w:shd w:val="clear" w:color="000000" w:fill="FFFFFF"/>
                  <w:noWrap/>
                  <w:vAlign w:val="center"/>
                </w:tcPr>
                <w:p w14:paraId="66824D03" w14:textId="77777777" w:rsidR="004905C9" w:rsidRPr="00D85A79" w:rsidRDefault="004905C9" w:rsidP="00883778">
                  <w:pPr>
                    <w:widowControl/>
                    <w:jc w:val="center"/>
                    <w:rPr>
                      <w:rFonts w:eastAsia="等线" w:cs="Arial"/>
                      <w:color w:val="000000"/>
                      <w:kern w:val="0"/>
                      <w:sz w:val="16"/>
                      <w:szCs w:val="16"/>
                    </w:rPr>
                  </w:pPr>
                  <w:r>
                    <w:rPr>
                      <w:rFonts w:ascii="华文楷体" w:eastAsia="华文楷体" w:hAnsi="华文楷体" w:cs="Arial" w:hint="eastAsia"/>
                      <w:color w:val="000000"/>
                      <w:sz w:val="16"/>
                      <w:szCs w:val="16"/>
                    </w:rPr>
                    <w:t>土地成交</w:t>
                  </w:r>
                </w:p>
              </w:tc>
              <w:tc>
                <w:tcPr>
                  <w:tcW w:w="1926" w:type="pct"/>
                  <w:tcBorders>
                    <w:top w:val="nil"/>
                    <w:left w:val="nil"/>
                    <w:bottom w:val="nil"/>
                    <w:right w:val="nil"/>
                  </w:tcBorders>
                  <w:shd w:val="clear" w:color="auto" w:fill="auto"/>
                  <w:noWrap/>
                  <w:vAlign w:val="center"/>
                </w:tcPr>
                <w:p w14:paraId="2FD14B8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100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成交土地溢价率</w:t>
                  </w:r>
                  <w:r>
                    <w:rPr>
                      <w:rFonts w:eastAsia="等线" w:cs="Arial"/>
                      <w:color w:val="000000"/>
                      <w:sz w:val="16"/>
                      <w:szCs w:val="16"/>
                    </w:rPr>
                    <w:t>:</w:t>
                  </w:r>
                  <w:r>
                    <w:rPr>
                      <w:rFonts w:ascii="华文楷体" w:eastAsia="华文楷体" w:hAnsi="华文楷体" w:cs="Arial" w:hint="eastAsia"/>
                      <w:color w:val="000000"/>
                      <w:sz w:val="16"/>
                      <w:szCs w:val="16"/>
                    </w:rPr>
                    <w:t>当周值（</w:t>
                  </w:r>
                  <w:r>
                    <w:rPr>
                      <w:rFonts w:eastAsia="等线" w:cs="Arial"/>
                      <w:color w:val="000000"/>
                      <w:sz w:val="16"/>
                      <w:szCs w:val="16"/>
                    </w:rPr>
                    <w:t>%</w:t>
                  </w:r>
                  <w:r>
                    <w:rPr>
                      <w:rFonts w:ascii="华文楷体" w:eastAsia="华文楷体" w:hAnsi="华文楷体" w:cs="Arial" w:hint="eastAsia"/>
                      <w:color w:val="000000"/>
                      <w:sz w:val="16"/>
                      <w:szCs w:val="16"/>
                    </w:rPr>
                    <w:t>）</w:t>
                  </w:r>
                </w:p>
              </w:tc>
              <w:tc>
                <w:tcPr>
                  <w:tcW w:w="482" w:type="pct"/>
                  <w:tcBorders>
                    <w:top w:val="nil"/>
                    <w:left w:val="nil"/>
                    <w:bottom w:val="nil"/>
                    <w:right w:val="nil"/>
                  </w:tcBorders>
                  <w:shd w:val="clear" w:color="000000" w:fill="DDEBF7"/>
                  <w:noWrap/>
                  <w:vAlign w:val="center"/>
                </w:tcPr>
                <w:p w14:paraId="0B4C237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8.73 </w:t>
                  </w:r>
                </w:p>
              </w:tc>
              <w:tc>
                <w:tcPr>
                  <w:tcW w:w="356" w:type="pct"/>
                  <w:tcBorders>
                    <w:top w:val="nil"/>
                    <w:left w:val="nil"/>
                    <w:bottom w:val="nil"/>
                    <w:right w:val="nil"/>
                  </w:tcBorders>
                  <w:shd w:val="clear" w:color="000000" w:fill="FDDCD5"/>
                  <w:noWrap/>
                  <w:vAlign w:val="center"/>
                </w:tcPr>
                <w:p w14:paraId="02F8308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2.42 </w:t>
                  </w:r>
                </w:p>
              </w:tc>
              <w:tc>
                <w:tcPr>
                  <w:tcW w:w="392" w:type="pct"/>
                  <w:tcBorders>
                    <w:top w:val="nil"/>
                    <w:left w:val="nil"/>
                    <w:bottom w:val="nil"/>
                    <w:right w:val="nil"/>
                  </w:tcBorders>
                  <w:shd w:val="clear" w:color="000000" w:fill="E2EFDA"/>
                  <w:noWrap/>
                  <w:vAlign w:val="center"/>
                </w:tcPr>
                <w:p w14:paraId="066B087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-0.73 </w:t>
                  </w:r>
                </w:p>
              </w:tc>
              <w:tc>
                <w:tcPr>
                  <w:tcW w:w="470" w:type="pct"/>
                  <w:tcBorders>
                    <w:top w:val="nil"/>
                    <w:left w:val="nil"/>
                    <w:bottom w:val="nil"/>
                    <w:right w:val="nil"/>
                  </w:tcBorders>
                  <w:shd w:val="clear" w:color="000000" w:fill="E2EFDA"/>
                  <w:noWrap/>
                  <w:vAlign w:val="center"/>
                </w:tcPr>
                <w:p w14:paraId="533040A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-15.81 </w:t>
                  </w:r>
                </w:p>
              </w:tc>
              <w:tc>
                <w:tcPr>
                  <w:tcW w:w="440" w:type="pct"/>
                  <w:tcBorders>
                    <w:top w:val="nil"/>
                    <w:left w:val="nil"/>
                    <w:bottom w:val="nil"/>
                    <w:right w:val="nil"/>
                  </w:tcBorders>
                  <w:shd w:val="clear" w:color="000000" w:fill="E2EFDA"/>
                  <w:noWrap/>
                  <w:vAlign w:val="center"/>
                </w:tcPr>
                <w:p w14:paraId="7D2E2B5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-14.49 </w:t>
                  </w:r>
                </w:p>
              </w:tc>
              <w:tc>
                <w:tcPr>
                  <w:tcW w:w="559" w:type="pct"/>
                  <w:tcBorders>
                    <w:top w:val="nil"/>
                    <w:left w:val="nil"/>
                    <w:bottom w:val="nil"/>
                    <w:right w:val="nil"/>
                  </w:tcBorders>
                  <w:shd w:val="clear" w:color="auto" w:fill="auto"/>
                  <w:noWrap/>
                  <w:vAlign w:val="center"/>
                </w:tcPr>
                <w:p w14:paraId="6F40A45B"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tr w:rsidR="004905C9" w:rsidRPr="00D85A79" w14:paraId="7CBA2DA9" w14:textId="77777777" w:rsidTr="00883778">
              <w:trPr>
                <w:trHeight w:val="315"/>
              </w:trPr>
              <w:tc>
                <w:tcPr>
                  <w:tcW w:w="375" w:type="pct"/>
                  <w:vMerge/>
                  <w:tcBorders>
                    <w:top w:val="single" w:sz="4" w:space="0" w:color="auto"/>
                    <w:left w:val="nil"/>
                    <w:bottom w:val="single" w:sz="4" w:space="0" w:color="000000"/>
                    <w:right w:val="nil"/>
                  </w:tcBorders>
                  <w:vAlign w:val="center"/>
                </w:tcPr>
                <w:p w14:paraId="5360FE67"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nil"/>
                    <w:right w:val="nil"/>
                  </w:tcBorders>
                  <w:shd w:val="clear" w:color="auto" w:fill="auto"/>
                  <w:noWrap/>
                  <w:vAlign w:val="center"/>
                </w:tcPr>
                <w:p w14:paraId="4B0C889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100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成交土地溢价率</w:t>
                  </w:r>
                  <w:r>
                    <w:rPr>
                      <w:rFonts w:eastAsia="等线" w:cs="Arial"/>
                      <w:color w:val="000000"/>
                      <w:sz w:val="16"/>
                      <w:szCs w:val="16"/>
                    </w:rPr>
                    <w:t>:</w:t>
                  </w:r>
                  <w:r>
                    <w:rPr>
                      <w:rFonts w:ascii="华文楷体" w:eastAsia="华文楷体" w:hAnsi="华文楷体" w:cs="Arial" w:hint="eastAsia"/>
                      <w:color w:val="000000"/>
                      <w:sz w:val="16"/>
                      <w:szCs w:val="16"/>
                    </w:rPr>
                    <w:t>一线城市（</w:t>
                  </w:r>
                  <w:r>
                    <w:rPr>
                      <w:rFonts w:eastAsia="等线" w:cs="Arial"/>
                      <w:color w:val="000000"/>
                      <w:sz w:val="16"/>
                      <w:szCs w:val="16"/>
                    </w:rPr>
                    <w:t>%</w:t>
                  </w:r>
                  <w:r>
                    <w:rPr>
                      <w:rFonts w:ascii="华文楷体" w:eastAsia="华文楷体" w:hAnsi="华文楷体" w:cs="Arial" w:hint="eastAsia"/>
                      <w:color w:val="000000"/>
                      <w:sz w:val="16"/>
                      <w:szCs w:val="16"/>
                    </w:rPr>
                    <w:t>）</w:t>
                  </w:r>
                </w:p>
              </w:tc>
              <w:tc>
                <w:tcPr>
                  <w:tcW w:w="482" w:type="pct"/>
                  <w:tcBorders>
                    <w:top w:val="nil"/>
                    <w:left w:val="nil"/>
                    <w:bottom w:val="nil"/>
                    <w:right w:val="nil"/>
                  </w:tcBorders>
                  <w:shd w:val="clear" w:color="000000" w:fill="DDEBF7"/>
                  <w:noWrap/>
                  <w:vAlign w:val="center"/>
                </w:tcPr>
                <w:p w14:paraId="3AE0D42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0.00 </w:t>
                  </w:r>
                </w:p>
              </w:tc>
              <w:tc>
                <w:tcPr>
                  <w:tcW w:w="356" w:type="pct"/>
                  <w:tcBorders>
                    <w:top w:val="nil"/>
                    <w:left w:val="nil"/>
                    <w:bottom w:val="nil"/>
                    <w:right w:val="nil"/>
                  </w:tcBorders>
                  <w:shd w:val="clear" w:color="000000" w:fill="E2EFDA"/>
                  <w:noWrap/>
                  <w:vAlign w:val="center"/>
                </w:tcPr>
                <w:p w14:paraId="5E37F16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-0.73 </w:t>
                  </w:r>
                </w:p>
              </w:tc>
              <w:tc>
                <w:tcPr>
                  <w:tcW w:w="392" w:type="pct"/>
                  <w:tcBorders>
                    <w:top w:val="nil"/>
                    <w:left w:val="nil"/>
                    <w:bottom w:val="nil"/>
                    <w:right w:val="nil"/>
                  </w:tcBorders>
                  <w:shd w:val="clear" w:color="000000" w:fill="FDDCD5"/>
                  <w:noWrap/>
                  <w:vAlign w:val="center"/>
                </w:tcPr>
                <w:p w14:paraId="2335B5D8"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0.73 </w:t>
                  </w:r>
                </w:p>
              </w:tc>
              <w:tc>
                <w:tcPr>
                  <w:tcW w:w="470" w:type="pct"/>
                  <w:tcBorders>
                    <w:top w:val="nil"/>
                    <w:left w:val="nil"/>
                    <w:bottom w:val="nil"/>
                    <w:right w:val="nil"/>
                  </w:tcBorders>
                  <w:shd w:val="clear" w:color="000000" w:fill="E2EFDA"/>
                  <w:noWrap/>
                  <w:vAlign w:val="center"/>
                </w:tcPr>
                <w:p w14:paraId="5E8DF1B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-1.50 </w:t>
                  </w:r>
                </w:p>
              </w:tc>
              <w:tc>
                <w:tcPr>
                  <w:tcW w:w="440" w:type="pct"/>
                  <w:tcBorders>
                    <w:top w:val="nil"/>
                    <w:left w:val="nil"/>
                    <w:bottom w:val="nil"/>
                    <w:right w:val="nil"/>
                  </w:tcBorders>
                  <w:shd w:val="clear" w:color="000000" w:fill="E2EFDA"/>
                  <w:noWrap/>
                  <w:vAlign w:val="center"/>
                </w:tcPr>
                <w:p w14:paraId="067FCA7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-16.13 </w:t>
                  </w:r>
                </w:p>
              </w:tc>
              <w:tc>
                <w:tcPr>
                  <w:tcW w:w="559" w:type="pct"/>
                  <w:tcBorders>
                    <w:top w:val="nil"/>
                    <w:left w:val="nil"/>
                    <w:bottom w:val="nil"/>
                    <w:right w:val="nil"/>
                  </w:tcBorders>
                  <w:shd w:val="clear" w:color="auto" w:fill="auto"/>
                  <w:noWrap/>
                  <w:vAlign w:val="center"/>
                </w:tcPr>
                <w:p w14:paraId="6F85D7F1"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tr w:rsidR="004905C9" w:rsidRPr="00D85A79" w14:paraId="4923FF46" w14:textId="77777777" w:rsidTr="00883778">
              <w:trPr>
                <w:trHeight w:val="315"/>
              </w:trPr>
              <w:tc>
                <w:tcPr>
                  <w:tcW w:w="375" w:type="pct"/>
                  <w:vMerge/>
                  <w:tcBorders>
                    <w:top w:val="single" w:sz="4" w:space="0" w:color="auto"/>
                    <w:left w:val="nil"/>
                    <w:bottom w:val="single" w:sz="4" w:space="0" w:color="000000"/>
                    <w:right w:val="nil"/>
                  </w:tcBorders>
                  <w:vAlign w:val="center"/>
                </w:tcPr>
                <w:p w14:paraId="0D76A901"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nil"/>
                    <w:right w:val="nil"/>
                  </w:tcBorders>
                  <w:shd w:val="clear" w:color="auto" w:fill="auto"/>
                  <w:noWrap/>
                  <w:vAlign w:val="center"/>
                </w:tcPr>
                <w:p w14:paraId="1C3E418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100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成交土地溢价率</w:t>
                  </w:r>
                  <w:r>
                    <w:rPr>
                      <w:rFonts w:eastAsia="等线" w:cs="Arial"/>
                      <w:color w:val="000000"/>
                      <w:sz w:val="16"/>
                      <w:szCs w:val="16"/>
                    </w:rPr>
                    <w:t>:</w:t>
                  </w:r>
                  <w:r>
                    <w:rPr>
                      <w:rFonts w:ascii="华文楷体" w:eastAsia="华文楷体" w:hAnsi="华文楷体" w:cs="Arial" w:hint="eastAsia"/>
                      <w:color w:val="000000"/>
                      <w:sz w:val="16"/>
                      <w:szCs w:val="16"/>
                    </w:rPr>
                    <w:t>二线城市（</w:t>
                  </w:r>
                  <w:r>
                    <w:rPr>
                      <w:rFonts w:eastAsia="等线" w:cs="Arial"/>
                      <w:color w:val="000000"/>
                      <w:sz w:val="16"/>
                      <w:szCs w:val="16"/>
                    </w:rPr>
                    <w:t>%</w:t>
                  </w:r>
                  <w:r>
                    <w:rPr>
                      <w:rFonts w:ascii="华文楷体" w:eastAsia="华文楷体" w:hAnsi="华文楷体" w:cs="Arial" w:hint="eastAsia"/>
                      <w:color w:val="000000"/>
                      <w:sz w:val="16"/>
                      <w:szCs w:val="16"/>
                    </w:rPr>
                    <w:t>）</w:t>
                  </w:r>
                </w:p>
              </w:tc>
              <w:tc>
                <w:tcPr>
                  <w:tcW w:w="482" w:type="pct"/>
                  <w:tcBorders>
                    <w:top w:val="nil"/>
                    <w:left w:val="nil"/>
                    <w:bottom w:val="nil"/>
                    <w:right w:val="nil"/>
                  </w:tcBorders>
                  <w:shd w:val="clear" w:color="000000" w:fill="DDEBF7"/>
                  <w:noWrap/>
                  <w:vAlign w:val="center"/>
                </w:tcPr>
                <w:p w14:paraId="1B650B2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0.00 </w:t>
                  </w:r>
                </w:p>
              </w:tc>
              <w:tc>
                <w:tcPr>
                  <w:tcW w:w="356" w:type="pct"/>
                  <w:tcBorders>
                    <w:top w:val="nil"/>
                    <w:left w:val="nil"/>
                    <w:bottom w:val="nil"/>
                    <w:right w:val="nil"/>
                  </w:tcBorders>
                  <w:shd w:val="clear" w:color="000000" w:fill="E2EFDA"/>
                  <w:noWrap/>
                  <w:vAlign w:val="center"/>
                </w:tcPr>
                <w:p w14:paraId="0E6882C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-1.28 </w:t>
                  </w:r>
                </w:p>
              </w:tc>
              <w:tc>
                <w:tcPr>
                  <w:tcW w:w="392" w:type="pct"/>
                  <w:tcBorders>
                    <w:top w:val="nil"/>
                    <w:left w:val="nil"/>
                    <w:bottom w:val="nil"/>
                    <w:right w:val="nil"/>
                  </w:tcBorders>
                  <w:shd w:val="clear" w:color="000000" w:fill="FDDCD5"/>
                  <w:noWrap/>
                  <w:vAlign w:val="center"/>
                </w:tcPr>
                <w:p w14:paraId="5A6CB51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0.11 </w:t>
                  </w:r>
                </w:p>
              </w:tc>
              <w:tc>
                <w:tcPr>
                  <w:tcW w:w="470" w:type="pct"/>
                  <w:tcBorders>
                    <w:top w:val="nil"/>
                    <w:left w:val="nil"/>
                    <w:bottom w:val="nil"/>
                    <w:right w:val="nil"/>
                  </w:tcBorders>
                  <w:shd w:val="clear" w:color="000000" w:fill="E2EFDA"/>
                  <w:noWrap/>
                  <w:vAlign w:val="center"/>
                </w:tcPr>
                <w:p w14:paraId="176C668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-35.53 </w:t>
                  </w:r>
                </w:p>
              </w:tc>
              <w:tc>
                <w:tcPr>
                  <w:tcW w:w="440" w:type="pct"/>
                  <w:tcBorders>
                    <w:top w:val="nil"/>
                    <w:left w:val="nil"/>
                    <w:bottom w:val="nil"/>
                    <w:right w:val="nil"/>
                  </w:tcBorders>
                  <w:shd w:val="clear" w:color="000000" w:fill="E2EFDA"/>
                  <w:noWrap/>
                  <w:vAlign w:val="center"/>
                </w:tcPr>
                <w:p w14:paraId="34A56EA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-10.49 </w:t>
                  </w:r>
                </w:p>
              </w:tc>
              <w:tc>
                <w:tcPr>
                  <w:tcW w:w="559" w:type="pct"/>
                  <w:tcBorders>
                    <w:top w:val="nil"/>
                    <w:left w:val="nil"/>
                    <w:bottom w:val="nil"/>
                    <w:right w:val="nil"/>
                  </w:tcBorders>
                  <w:shd w:val="clear" w:color="auto" w:fill="auto"/>
                  <w:noWrap/>
                  <w:vAlign w:val="center"/>
                </w:tcPr>
                <w:p w14:paraId="4993E0CD"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tr w:rsidR="004905C9" w:rsidRPr="00D85A79" w14:paraId="6D8453FB" w14:textId="77777777" w:rsidTr="00883778">
              <w:trPr>
                <w:trHeight w:val="308"/>
              </w:trPr>
              <w:tc>
                <w:tcPr>
                  <w:tcW w:w="375" w:type="pct"/>
                  <w:vMerge/>
                  <w:tcBorders>
                    <w:top w:val="single" w:sz="4" w:space="0" w:color="auto"/>
                    <w:left w:val="nil"/>
                    <w:bottom w:val="single" w:sz="4" w:space="0" w:color="000000"/>
                    <w:right w:val="nil"/>
                  </w:tcBorders>
                  <w:vAlign w:val="center"/>
                </w:tcPr>
                <w:p w14:paraId="0505025D"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nil"/>
                    <w:right w:val="nil"/>
                  </w:tcBorders>
                  <w:shd w:val="clear" w:color="auto" w:fill="auto"/>
                  <w:noWrap/>
                  <w:vAlign w:val="center"/>
                </w:tcPr>
                <w:p w14:paraId="2C386CC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100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成交土地溢价率</w:t>
                  </w:r>
                  <w:r>
                    <w:rPr>
                      <w:rFonts w:eastAsia="等线" w:cs="Arial"/>
                      <w:color w:val="000000"/>
                      <w:sz w:val="16"/>
                      <w:szCs w:val="16"/>
                    </w:rPr>
                    <w:t>:</w:t>
                  </w:r>
                  <w:r>
                    <w:rPr>
                      <w:rFonts w:ascii="华文楷体" w:eastAsia="华文楷体" w:hAnsi="华文楷体" w:cs="Arial" w:hint="eastAsia"/>
                      <w:color w:val="000000"/>
                      <w:sz w:val="16"/>
                      <w:szCs w:val="16"/>
                    </w:rPr>
                    <w:t>三线城市（</w:t>
                  </w:r>
                  <w:r>
                    <w:rPr>
                      <w:rFonts w:eastAsia="等线" w:cs="Arial"/>
                      <w:color w:val="000000"/>
                      <w:sz w:val="16"/>
                      <w:szCs w:val="16"/>
                    </w:rPr>
                    <w:t>%</w:t>
                  </w:r>
                  <w:r>
                    <w:rPr>
                      <w:rFonts w:ascii="华文楷体" w:eastAsia="华文楷体" w:hAnsi="华文楷体" w:cs="Arial" w:hint="eastAsia"/>
                      <w:color w:val="000000"/>
                      <w:sz w:val="16"/>
                      <w:szCs w:val="16"/>
                    </w:rPr>
                    <w:t>）</w:t>
                  </w:r>
                </w:p>
              </w:tc>
              <w:tc>
                <w:tcPr>
                  <w:tcW w:w="482" w:type="pct"/>
                  <w:tcBorders>
                    <w:top w:val="nil"/>
                    <w:left w:val="nil"/>
                    <w:bottom w:val="nil"/>
                    <w:right w:val="nil"/>
                  </w:tcBorders>
                  <w:shd w:val="clear" w:color="000000" w:fill="DDEBF7"/>
                  <w:noWrap/>
                  <w:vAlign w:val="center"/>
                </w:tcPr>
                <w:p w14:paraId="0BB1AA3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14.73 </w:t>
                  </w:r>
                </w:p>
              </w:tc>
              <w:tc>
                <w:tcPr>
                  <w:tcW w:w="356" w:type="pct"/>
                  <w:tcBorders>
                    <w:top w:val="nil"/>
                    <w:left w:val="nil"/>
                    <w:bottom w:val="nil"/>
                    <w:right w:val="nil"/>
                  </w:tcBorders>
                  <w:shd w:val="clear" w:color="000000" w:fill="FDDCD5"/>
                  <w:noWrap/>
                  <w:vAlign w:val="center"/>
                </w:tcPr>
                <w:p w14:paraId="39DCDCD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7.52 </w:t>
                  </w:r>
                </w:p>
              </w:tc>
              <w:tc>
                <w:tcPr>
                  <w:tcW w:w="392" w:type="pct"/>
                  <w:tcBorders>
                    <w:top w:val="nil"/>
                    <w:left w:val="nil"/>
                    <w:bottom w:val="nil"/>
                    <w:right w:val="nil"/>
                  </w:tcBorders>
                  <w:shd w:val="clear" w:color="000000" w:fill="E2EFDA"/>
                  <w:noWrap/>
                  <w:vAlign w:val="center"/>
                </w:tcPr>
                <w:p w14:paraId="69113FE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-1.71 </w:t>
                  </w:r>
                </w:p>
              </w:tc>
              <w:tc>
                <w:tcPr>
                  <w:tcW w:w="470" w:type="pct"/>
                  <w:tcBorders>
                    <w:top w:val="nil"/>
                    <w:left w:val="nil"/>
                    <w:bottom w:val="nil"/>
                    <w:right w:val="nil"/>
                  </w:tcBorders>
                  <w:shd w:val="clear" w:color="000000" w:fill="E2EFDA"/>
                  <w:noWrap/>
                  <w:vAlign w:val="center"/>
                </w:tcPr>
                <w:p w14:paraId="55CC8CC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-1.20 </w:t>
                  </w:r>
                </w:p>
              </w:tc>
              <w:tc>
                <w:tcPr>
                  <w:tcW w:w="440" w:type="pct"/>
                  <w:tcBorders>
                    <w:top w:val="nil"/>
                    <w:left w:val="nil"/>
                    <w:bottom w:val="nil"/>
                    <w:right w:val="nil"/>
                  </w:tcBorders>
                  <w:shd w:val="clear" w:color="000000" w:fill="E2EFDA"/>
                  <w:noWrap/>
                  <w:vAlign w:val="center"/>
                </w:tcPr>
                <w:p w14:paraId="234199A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-8.56 </w:t>
                  </w:r>
                </w:p>
              </w:tc>
              <w:tc>
                <w:tcPr>
                  <w:tcW w:w="559" w:type="pct"/>
                  <w:tcBorders>
                    <w:top w:val="nil"/>
                    <w:left w:val="nil"/>
                    <w:bottom w:val="nil"/>
                    <w:right w:val="nil"/>
                  </w:tcBorders>
                  <w:shd w:val="clear" w:color="auto" w:fill="auto"/>
                  <w:noWrap/>
                  <w:vAlign w:val="center"/>
                </w:tcPr>
                <w:p w14:paraId="26B0F3C3"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tr w:rsidR="004905C9" w:rsidRPr="00D85A79" w14:paraId="0F76EBB9" w14:textId="77777777" w:rsidTr="00883778">
              <w:trPr>
                <w:trHeight w:val="308"/>
              </w:trPr>
              <w:tc>
                <w:tcPr>
                  <w:tcW w:w="375" w:type="pct"/>
                  <w:vMerge/>
                  <w:tcBorders>
                    <w:top w:val="single" w:sz="4" w:space="0" w:color="auto"/>
                    <w:left w:val="nil"/>
                    <w:bottom w:val="single" w:sz="4" w:space="0" w:color="000000"/>
                    <w:right w:val="nil"/>
                  </w:tcBorders>
                  <w:vAlign w:val="center"/>
                </w:tcPr>
                <w:p w14:paraId="0896C3B7"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nil"/>
                    <w:right w:val="nil"/>
                  </w:tcBorders>
                  <w:shd w:val="clear" w:color="auto" w:fill="auto"/>
                  <w:noWrap/>
                  <w:vAlign w:val="center"/>
                </w:tcPr>
                <w:p w14:paraId="1ADEFCF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100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成交土地占地面积</w:t>
                  </w:r>
                  <w:r>
                    <w:rPr>
                      <w:rFonts w:eastAsia="等线" w:cs="Arial"/>
                      <w:color w:val="000000"/>
                      <w:sz w:val="16"/>
                      <w:szCs w:val="16"/>
                    </w:rPr>
                    <w:t>:</w:t>
                  </w:r>
                  <w:r>
                    <w:rPr>
                      <w:rFonts w:ascii="华文楷体" w:eastAsia="华文楷体" w:hAnsi="华文楷体" w:cs="Arial" w:hint="eastAsia"/>
                      <w:color w:val="000000"/>
                      <w:sz w:val="16"/>
                      <w:szCs w:val="16"/>
                    </w:rPr>
                    <w:t>当周值（万方）</w:t>
                  </w:r>
                </w:p>
              </w:tc>
              <w:tc>
                <w:tcPr>
                  <w:tcW w:w="482" w:type="pct"/>
                  <w:tcBorders>
                    <w:top w:val="nil"/>
                    <w:left w:val="nil"/>
                    <w:bottom w:val="nil"/>
                    <w:right w:val="nil"/>
                  </w:tcBorders>
                  <w:shd w:val="clear" w:color="000000" w:fill="DDEBF7"/>
                  <w:noWrap/>
                  <w:vAlign w:val="center"/>
                </w:tcPr>
                <w:p w14:paraId="779ADC5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368.62 </w:t>
                  </w:r>
                </w:p>
              </w:tc>
              <w:tc>
                <w:tcPr>
                  <w:tcW w:w="356" w:type="pct"/>
                  <w:tcBorders>
                    <w:top w:val="nil"/>
                    <w:left w:val="nil"/>
                    <w:bottom w:val="nil"/>
                    <w:right w:val="nil"/>
                  </w:tcBorders>
                  <w:shd w:val="clear" w:color="000000" w:fill="E2EFDA"/>
                  <w:noWrap/>
                  <w:vAlign w:val="center"/>
                </w:tcPr>
                <w:p w14:paraId="0B036B7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-62.06 </w:t>
                  </w:r>
                </w:p>
              </w:tc>
              <w:tc>
                <w:tcPr>
                  <w:tcW w:w="392" w:type="pct"/>
                  <w:tcBorders>
                    <w:top w:val="nil"/>
                    <w:left w:val="nil"/>
                    <w:bottom w:val="nil"/>
                    <w:right w:val="nil"/>
                  </w:tcBorders>
                  <w:shd w:val="clear" w:color="000000" w:fill="FDDCD5"/>
                  <w:noWrap/>
                  <w:vAlign w:val="center"/>
                </w:tcPr>
                <w:p w14:paraId="1D3F86A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17.74 </w:t>
                  </w:r>
                </w:p>
              </w:tc>
              <w:tc>
                <w:tcPr>
                  <w:tcW w:w="470" w:type="pct"/>
                  <w:tcBorders>
                    <w:top w:val="nil"/>
                    <w:left w:val="nil"/>
                    <w:bottom w:val="nil"/>
                    <w:right w:val="nil"/>
                  </w:tcBorders>
                  <w:shd w:val="clear" w:color="000000" w:fill="E2EFDA"/>
                  <w:noWrap/>
                  <w:vAlign w:val="center"/>
                </w:tcPr>
                <w:p w14:paraId="291EAD1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-34.35 </w:t>
                  </w:r>
                </w:p>
              </w:tc>
              <w:tc>
                <w:tcPr>
                  <w:tcW w:w="440" w:type="pct"/>
                  <w:tcBorders>
                    <w:top w:val="nil"/>
                    <w:left w:val="nil"/>
                    <w:bottom w:val="nil"/>
                    <w:right w:val="nil"/>
                  </w:tcBorders>
                  <w:shd w:val="clear" w:color="000000" w:fill="E2EFDA"/>
                  <w:noWrap/>
                  <w:vAlign w:val="center"/>
                </w:tcPr>
                <w:p w14:paraId="18E3D43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-42.22 </w:t>
                  </w:r>
                </w:p>
              </w:tc>
              <w:tc>
                <w:tcPr>
                  <w:tcW w:w="559" w:type="pct"/>
                  <w:tcBorders>
                    <w:top w:val="nil"/>
                    <w:left w:val="nil"/>
                    <w:bottom w:val="nil"/>
                    <w:right w:val="nil"/>
                  </w:tcBorders>
                  <w:shd w:val="clear" w:color="auto" w:fill="auto"/>
                  <w:noWrap/>
                  <w:vAlign w:val="center"/>
                </w:tcPr>
                <w:p w14:paraId="775192BA"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tr w:rsidR="004905C9" w:rsidRPr="00D85A79" w14:paraId="0BFA04B8" w14:textId="77777777" w:rsidTr="00883778">
              <w:trPr>
                <w:trHeight w:val="315"/>
              </w:trPr>
              <w:tc>
                <w:tcPr>
                  <w:tcW w:w="375" w:type="pct"/>
                  <w:vMerge/>
                  <w:tcBorders>
                    <w:top w:val="single" w:sz="4" w:space="0" w:color="auto"/>
                    <w:left w:val="nil"/>
                    <w:bottom w:val="single" w:sz="4" w:space="0" w:color="000000"/>
                    <w:right w:val="nil"/>
                  </w:tcBorders>
                  <w:vAlign w:val="center"/>
                </w:tcPr>
                <w:p w14:paraId="603DDF50" w14:textId="77777777" w:rsidR="004905C9" w:rsidRPr="00D85A79" w:rsidRDefault="004905C9" w:rsidP="00883778">
                  <w:pPr>
                    <w:widowControl/>
                    <w:jc w:val="center"/>
                    <w:rPr>
                      <w:rFonts w:eastAsia="等线" w:cs="Arial"/>
                      <w:color w:val="000000"/>
                      <w:kern w:val="0"/>
                      <w:sz w:val="16"/>
                      <w:szCs w:val="16"/>
                    </w:rPr>
                  </w:pPr>
                  <w:bookmarkStart w:id="39" w:name="_Hlk75009461"/>
                </w:p>
              </w:tc>
              <w:tc>
                <w:tcPr>
                  <w:tcW w:w="1926" w:type="pct"/>
                  <w:tcBorders>
                    <w:top w:val="nil"/>
                    <w:left w:val="nil"/>
                    <w:bottom w:val="nil"/>
                    <w:right w:val="nil"/>
                  </w:tcBorders>
                  <w:shd w:val="clear" w:color="auto" w:fill="auto"/>
                  <w:noWrap/>
                  <w:vAlign w:val="center"/>
                </w:tcPr>
                <w:p w14:paraId="40ACE85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100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成交土地占地面积</w:t>
                  </w:r>
                  <w:r>
                    <w:rPr>
                      <w:rFonts w:eastAsia="等线" w:cs="Arial"/>
                      <w:color w:val="000000"/>
                      <w:sz w:val="16"/>
                      <w:szCs w:val="16"/>
                    </w:rPr>
                    <w:t>:</w:t>
                  </w:r>
                  <w:r>
                    <w:rPr>
                      <w:rFonts w:ascii="华文楷体" w:eastAsia="华文楷体" w:hAnsi="华文楷体" w:cs="Arial" w:hint="eastAsia"/>
                      <w:color w:val="000000"/>
                      <w:sz w:val="16"/>
                      <w:szCs w:val="16"/>
                    </w:rPr>
                    <w:t>一线城市（万方）</w:t>
                  </w:r>
                </w:p>
              </w:tc>
              <w:tc>
                <w:tcPr>
                  <w:tcW w:w="482" w:type="pct"/>
                  <w:tcBorders>
                    <w:top w:val="nil"/>
                    <w:left w:val="nil"/>
                    <w:bottom w:val="nil"/>
                    <w:right w:val="nil"/>
                  </w:tcBorders>
                  <w:shd w:val="clear" w:color="000000" w:fill="DDEBF7"/>
                  <w:noWrap/>
                  <w:vAlign w:val="center"/>
                </w:tcPr>
                <w:p w14:paraId="445B0BA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52.59 </w:t>
                  </w:r>
                </w:p>
              </w:tc>
              <w:tc>
                <w:tcPr>
                  <w:tcW w:w="356" w:type="pct"/>
                  <w:tcBorders>
                    <w:top w:val="nil"/>
                    <w:left w:val="nil"/>
                    <w:bottom w:val="nil"/>
                    <w:right w:val="nil"/>
                  </w:tcBorders>
                  <w:shd w:val="clear" w:color="000000" w:fill="FDDCD5"/>
                  <w:noWrap/>
                  <w:vAlign w:val="center"/>
                </w:tcPr>
                <w:p w14:paraId="73DA032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126.58 </w:t>
                  </w:r>
                </w:p>
              </w:tc>
              <w:tc>
                <w:tcPr>
                  <w:tcW w:w="392" w:type="pct"/>
                  <w:tcBorders>
                    <w:top w:val="nil"/>
                    <w:left w:val="nil"/>
                    <w:bottom w:val="nil"/>
                    <w:right w:val="nil"/>
                  </w:tcBorders>
                  <w:shd w:val="clear" w:color="000000" w:fill="E2EFDA"/>
                  <w:noWrap/>
                  <w:vAlign w:val="center"/>
                </w:tcPr>
                <w:p w14:paraId="0DB76C4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-41.56 </w:t>
                  </w:r>
                </w:p>
              </w:tc>
              <w:tc>
                <w:tcPr>
                  <w:tcW w:w="470" w:type="pct"/>
                  <w:tcBorders>
                    <w:top w:val="nil"/>
                    <w:left w:val="nil"/>
                    <w:bottom w:val="nil"/>
                    <w:right w:val="nil"/>
                  </w:tcBorders>
                  <w:shd w:val="clear" w:color="000000" w:fill="FDDCD5"/>
                  <w:noWrap/>
                  <w:vAlign w:val="center"/>
                </w:tcPr>
                <w:p w14:paraId="50C0839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74.55 </w:t>
                  </w:r>
                </w:p>
              </w:tc>
              <w:tc>
                <w:tcPr>
                  <w:tcW w:w="440" w:type="pct"/>
                  <w:tcBorders>
                    <w:top w:val="nil"/>
                    <w:left w:val="nil"/>
                    <w:bottom w:val="nil"/>
                    <w:right w:val="nil"/>
                  </w:tcBorders>
                  <w:shd w:val="clear" w:color="000000" w:fill="E2EFDA"/>
                  <w:noWrap/>
                  <w:vAlign w:val="center"/>
                </w:tcPr>
                <w:p w14:paraId="0484A4A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-51.61 </w:t>
                  </w:r>
                </w:p>
              </w:tc>
              <w:tc>
                <w:tcPr>
                  <w:tcW w:w="559" w:type="pct"/>
                  <w:tcBorders>
                    <w:top w:val="nil"/>
                    <w:left w:val="nil"/>
                    <w:bottom w:val="nil"/>
                    <w:right w:val="nil"/>
                  </w:tcBorders>
                  <w:shd w:val="clear" w:color="auto" w:fill="auto"/>
                  <w:noWrap/>
                  <w:vAlign w:val="center"/>
                </w:tcPr>
                <w:p w14:paraId="6FAE4781"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tr w:rsidR="004905C9" w:rsidRPr="00D85A79" w14:paraId="198299F5" w14:textId="77777777" w:rsidTr="00883778">
              <w:trPr>
                <w:trHeight w:val="315"/>
              </w:trPr>
              <w:tc>
                <w:tcPr>
                  <w:tcW w:w="375" w:type="pct"/>
                  <w:vMerge/>
                  <w:tcBorders>
                    <w:top w:val="single" w:sz="4" w:space="0" w:color="auto"/>
                    <w:left w:val="nil"/>
                    <w:bottom w:val="single" w:sz="4" w:space="0" w:color="000000"/>
                    <w:right w:val="nil"/>
                  </w:tcBorders>
                  <w:vAlign w:val="center"/>
                </w:tcPr>
                <w:p w14:paraId="1193CD34"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nil"/>
                    <w:right w:val="nil"/>
                  </w:tcBorders>
                  <w:shd w:val="clear" w:color="auto" w:fill="auto"/>
                  <w:noWrap/>
                  <w:vAlign w:val="center"/>
                </w:tcPr>
                <w:p w14:paraId="6E340CD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100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成交土地占地面积</w:t>
                  </w:r>
                  <w:r>
                    <w:rPr>
                      <w:rFonts w:eastAsia="等线" w:cs="Arial"/>
                      <w:color w:val="000000"/>
                      <w:sz w:val="16"/>
                      <w:szCs w:val="16"/>
                    </w:rPr>
                    <w:t>:</w:t>
                  </w:r>
                  <w:r>
                    <w:rPr>
                      <w:rFonts w:ascii="华文楷体" w:eastAsia="华文楷体" w:hAnsi="华文楷体" w:cs="Arial" w:hint="eastAsia"/>
                      <w:color w:val="000000"/>
                      <w:sz w:val="16"/>
                      <w:szCs w:val="16"/>
                    </w:rPr>
                    <w:t>二线城市（万方）</w:t>
                  </w:r>
                </w:p>
              </w:tc>
              <w:tc>
                <w:tcPr>
                  <w:tcW w:w="482" w:type="pct"/>
                  <w:tcBorders>
                    <w:top w:val="nil"/>
                    <w:left w:val="nil"/>
                    <w:bottom w:val="nil"/>
                    <w:right w:val="nil"/>
                  </w:tcBorders>
                  <w:shd w:val="clear" w:color="000000" w:fill="DDEBF7"/>
                  <w:noWrap/>
                  <w:vAlign w:val="center"/>
                </w:tcPr>
                <w:p w14:paraId="5DDE9DB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135.63 </w:t>
                  </w:r>
                </w:p>
              </w:tc>
              <w:tc>
                <w:tcPr>
                  <w:tcW w:w="356" w:type="pct"/>
                  <w:tcBorders>
                    <w:top w:val="nil"/>
                    <w:left w:val="nil"/>
                    <w:bottom w:val="nil"/>
                    <w:right w:val="nil"/>
                  </w:tcBorders>
                  <w:shd w:val="clear" w:color="000000" w:fill="E2EFDA"/>
                  <w:noWrap/>
                  <w:vAlign w:val="center"/>
                </w:tcPr>
                <w:p w14:paraId="4054E26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-60.57 </w:t>
                  </w:r>
                </w:p>
              </w:tc>
              <w:tc>
                <w:tcPr>
                  <w:tcW w:w="392" w:type="pct"/>
                  <w:tcBorders>
                    <w:top w:val="nil"/>
                    <w:left w:val="nil"/>
                    <w:bottom w:val="nil"/>
                    <w:right w:val="nil"/>
                  </w:tcBorders>
                  <w:shd w:val="clear" w:color="000000" w:fill="FDDCD5"/>
                  <w:noWrap/>
                  <w:vAlign w:val="center"/>
                </w:tcPr>
                <w:p w14:paraId="137D4A8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25.44 </w:t>
                  </w:r>
                </w:p>
              </w:tc>
              <w:tc>
                <w:tcPr>
                  <w:tcW w:w="470" w:type="pct"/>
                  <w:tcBorders>
                    <w:top w:val="nil"/>
                    <w:left w:val="nil"/>
                    <w:bottom w:val="nil"/>
                    <w:right w:val="nil"/>
                  </w:tcBorders>
                  <w:shd w:val="clear" w:color="000000" w:fill="E2EFDA"/>
                  <w:noWrap/>
                  <w:vAlign w:val="center"/>
                </w:tcPr>
                <w:p w14:paraId="489FF13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-29.05 </w:t>
                  </w:r>
                </w:p>
              </w:tc>
              <w:tc>
                <w:tcPr>
                  <w:tcW w:w="440" w:type="pct"/>
                  <w:tcBorders>
                    <w:top w:val="nil"/>
                    <w:left w:val="nil"/>
                    <w:bottom w:val="nil"/>
                    <w:right w:val="nil"/>
                  </w:tcBorders>
                  <w:shd w:val="clear" w:color="000000" w:fill="E2EFDA"/>
                  <w:noWrap/>
                  <w:vAlign w:val="center"/>
                </w:tcPr>
                <w:p w14:paraId="3AF6516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-54.29 </w:t>
                  </w:r>
                </w:p>
              </w:tc>
              <w:tc>
                <w:tcPr>
                  <w:tcW w:w="559" w:type="pct"/>
                  <w:tcBorders>
                    <w:top w:val="nil"/>
                    <w:left w:val="nil"/>
                    <w:bottom w:val="nil"/>
                    <w:right w:val="nil"/>
                  </w:tcBorders>
                  <w:shd w:val="clear" w:color="auto" w:fill="auto"/>
                  <w:noWrap/>
                  <w:vAlign w:val="center"/>
                </w:tcPr>
                <w:p w14:paraId="169CD420"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bookmarkEnd w:id="39"/>
            <w:tr w:rsidR="004905C9" w:rsidRPr="00D85A79" w14:paraId="5A2E974D" w14:textId="77777777" w:rsidTr="00883778">
              <w:trPr>
                <w:trHeight w:val="308"/>
              </w:trPr>
              <w:tc>
                <w:tcPr>
                  <w:tcW w:w="375" w:type="pct"/>
                  <w:vMerge/>
                  <w:tcBorders>
                    <w:top w:val="single" w:sz="4" w:space="0" w:color="auto"/>
                    <w:left w:val="nil"/>
                    <w:bottom w:val="single" w:sz="4" w:space="0" w:color="000000"/>
                    <w:right w:val="nil"/>
                  </w:tcBorders>
                  <w:vAlign w:val="center"/>
                </w:tcPr>
                <w:p w14:paraId="425906AC"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single" w:sz="4" w:space="0" w:color="auto"/>
                    <w:right w:val="nil"/>
                  </w:tcBorders>
                  <w:shd w:val="clear" w:color="auto" w:fill="auto"/>
                  <w:noWrap/>
                  <w:vAlign w:val="center"/>
                </w:tcPr>
                <w:p w14:paraId="6C61D6F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100</w:t>
                  </w:r>
                  <w:r>
                    <w:rPr>
                      <w:rFonts w:ascii="华文楷体" w:eastAsia="华文楷体" w:hAnsi="华文楷体" w:cs="Arial" w:hint="eastAsia"/>
                      <w:color w:val="000000"/>
                      <w:sz w:val="16"/>
                      <w:szCs w:val="16"/>
                    </w:rPr>
                    <w:t>大中城市</w:t>
                  </w:r>
                  <w:r>
                    <w:rPr>
                      <w:rFonts w:eastAsia="等线" w:cs="Arial"/>
                      <w:color w:val="000000"/>
                      <w:sz w:val="16"/>
                      <w:szCs w:val="16"/>
                    </w:rPr>
                    <w:t>:</w:t>
                  </w:r>
                  <w:r>
                    <w:rPr>
                      <w:rFonts w:ascii="华文楷体" w:eastAsia="华文楷体" w:hAnsi="华文楷体" w:cs="Arial" w:hint="eastAsia"/>
                      <w:color w:val="000000"/>
                      <w:sz w:val="16"/>
                      <w:szCs w:val="16"/>
                    </w:rPr>
                    <w:t>成交土地占地面积</w:t>
                  </w:r>
                  <w:r>
                    <w:rPr>
                      <w:rFonts w:eastAsia="等线" w:cs="Arial"/>
                      <w:color w:val="000000"/>
                      <w:sz w:val="16"/>
                      <w:szCs w:val="16"/>
                    </w:rPr>
                    <w:t>:</w:t>
                  </w:r>
                  <w:r>
                    <w:rPr>
                      <w:rFonts w:ascii="华文楷体" w:eastAsia="华文楷体" w:hAnsi="华文楷体" w:cs="Arial" w:hint="eastAsia"/>
                      <w:color w:val="000000"/>
                      <w:sz w:val="16"/>
                      <w:szCs w:val="16"/>
                    </w:rPr>
                    <w:t>三线城市（万方）</w:t>
                  </w:r>
                </w:p>
              </w:tc>
              <w:tc>
                <w:tcPr>
                  <w:tcW w:w="482" w:type="pct"/>
                  <w:tcBorders>
                    <w:top w:val="nil"/>
                    <w:left w:val="nil"/>
                    <w:bottom w:val="single" w:sz="4" w:space="0" w:color="auto"/>
                    <w:right w:val="nil"/>
                  </w:tcBorders>
                  <w:shd w:val="clear" w:color="000000" w:fill="DDEBF7"/>
                  <w:noWrap/>
                  <w:vAlign w:val="center"/>
                </w:tcPr>
                <w:p w14:paraId="007FA8F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180.40 </w:t>
                  </w:r>
                </w:p>
              </w:tc>
              <w:tc>
                <w:tcPr>
                  <w:tcW w:w="356" w:type="pct"/>
                  <w:tcBorders>
                    <w:top w:val="nil"/>
                    <w:left w:val="nil"/>
                    <w:bottom w:val="single" w:sz="4" w:space="0" w:color="auto"/>
                    <w:right w:val="nil"/>
                  </w:tcBorders>
                  <w:shd w:val="clear" w:color="000000" w:fill="E2EFDA"/>
                  <w:noWrap/>
                  <w:vAlign w:val="center"/>
                </w:tcPr>
                <w:p w14:paraId="3C81648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-70.15 </w:t>
                  </w:r>
                </w:p>
              </w:tc>
              <w:tc>
                <w:tcPr>
                  <w:tcW w:w="392" w:type="pct"/>
                  <w:tcBorders>
                    <w:top w:val="nil"/>
                    <w:left w:val="nil"/>
                    <w:bottom w:val="single" w:sz="4" w:space="0" w:color="auto"/>
                    <w:right w:val="nil"/>
                  </w:tcBorders>
                  <w:shd w:val="clear" w:color="000000" w:fill="FDDCD5"/>
                  <w:noWrap/>
                  <w:vAlign w:val="center"/>
                </w:tcPr>
                <w:p w14:paraId="4AFB026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18.21 </w:t>
                  </w:r>
                </w:p>
              </w:tc>
              <w:tc>
                <w:tcPr>
                  <w:tcW w:w="470" w:type="pct"/>
                  <w:tcBorders>
                    <w:top w:val="nil"/>
                    <w:left w:val="nil"/>
                    <w:bottom w:val="single" w:sz="4" w:space="0" w:color="auto"/>
                    <w:right w:val="nil"/>
                  </w:tcBorders>
                  <w:shd w:val="clear" w:color="000000" w:fill="E2EFDA"/>
                  <w:noWrap/>
                  <w:vAlign w:val="center"/>
                </w:tcPr>
                <w:p w14:paraId="1A985A4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-40.27 </w:t>
                  </w:r>
                </w:p>
              </w:tc>
              <w:tc>
                <w:tcPr>
                  <w:tcW w:w="440" w:type="pct"/>
                  <w:tcBorders>
                    <w:top w:val="nil"/>
                    <w:left w:val="nil"/>
                    <w:bottom w:val="single" w:sz="4" w:space="0" w:color="auto"/>
                    <w:right w:val="nil"/>
                  </w:tcBorders>
                  <w:shd w:val="clear" w:color="000000" w:fill="E2EFDA"/>
                  <w:noWrap/>
                  <w:vAlign w:val="center"/>
                </w:tcPr>
                <w:p w14:paraId="61CB168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-30.33 </w:t>
                  </w:r>
                </w:p>
              </w:tc>
              <w:tc>
                <w:tcPr>
                  <w:tcW w:w="559" w:type="pct"/>
                  <w:tcBorders>
                    <w:top w:val="nil"/>
                    <w:left w:val="nil"/>
                    <w:bottom w:val="single" w:sz="4" w:space="0" w:color="auto"/>
                    <w:right w:val="nil"/>
                  </w:tcBorders>
                  <w:shd w:val="clear" w:color="auto" w:fill="auto"/>
                  <w:noWrap/>
                  <w:vAlign w:val="center"/>
                </w:tcPr>
                <w:p w14:paraId="472B10C1"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tr w:rsidR="004905C9" w:rsidRPr="00D85A79" w14:paraId="32A35343" w14:textId="77777777" w:rsidTr="00883778">
              <w:trPr>
                <w:trHeight w:val="308"/>
              </w:trPr>
              <w:tc>
                <w:tcPr>
                  <w:tcW w:w="375" w:type="pct"/>
                  <w:vMerge w:val="restart"/>
                  <w:tcBorders>
                    <w:top w:val="single" w:sz="4" w:space="0" w:color="auto"/>
                    <w:left w:val="nil"/>
                    <w:bottom w:val="single" w:sz="4" w:space="0" w:color="000000"/>
                    <w:right w:val="nil"/>
                  </w:tcBorders>
                  <w:shd w:val="clear" w:color="000000" w:fill="FFFFFF"/>
                  <w:vAlign w:val="center"/>
                </w:tcPr>
                <w:p w14:paraId="486F40FC" w14:textId="77777777" w:rsidR="004905C9" w:rsidRPr="00D85A79" w:rsidRDefault="004905C9" w:rsidP="00883778">
                  <w:pPr>
                    <w:widowControl/>
                    <w:jc w:val="center"/>
                    <w:rPr>
                      <w:rFonts w:eastAsia="等线" w:cs="Arial"/>
                      <w:color w:val="000000"/>
                      <w:kern w:val="0"/>
                      <w:sz w:val="16"/>
                      <w:szCs w:val="16"/>
                    </w:rPr>
                  </w:pPr>
                  <w:r>
                    <w:rPr>
                      <w:rFonts w:ascii="华文楷体" w:eastAsia="华文楷体" w:hAnsi="华文楷体" w:cs="Arial" w:hint="eastAsia"/>
                      <w:color w:val="000000"/>
                      <w:sz w:val="16"/>
                      <w:szCs w:val="16"/>
                    </w:rPr>
                    <w:t>乘用车</w:t>
                  </w:r>
                  <w:r>
                    <w:rPr>
                      <w:rFonts w:eastAsia="等线" w:cs="Arial"/>
                      <w:color w:val="000000"/>
                      <w:sz w:val="16"/>
                      <w:szCs w:val="16"/>
                    </w:rPr>
                    <w:t xml:space="preserve"> </w:t>
                  </w:r>
                  <w:r>
                    <w:rPr>
                      <w:rFonts w:ascii="华文楷体" w:eastAsia="华文楷体" w:hAnsi="华文楷体" w:cs="Arial" w:hint="eastAsia"/>
                      <w:color w:val="000000"/>
                      <w:sz w:val="16"/>
                      <w:szCs w:val="16"/>
                    </w:rPr>
                    <w:t>销量</w:t>
                  </w:r>
                </w:p>
              </w:tc>
              <w:tc>
                <w:tcPr>
                  <w:tcW w:w="1926" w:type="pct"/>
                  <w:tcBorders>
                    <w:top w:val="nil"/>
                    <w:left w:val="nil"/>
                    <w:bottom w:val="nil"/>
                    <w:right w:val="nil"/>
                  </w:tcBorders>
                  <w:shd w:val="clear" w:color="auto" w:fill="auto"/>
                  <w:noWrap/>
                  <w:vAlign w:val="center"/>
                </w:tcPr>
                <w:p w14:paraId="6F1CDF7B"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当周日均销量</w:t>
                  </w:r>
                  <w:r>
                    <w:rPr>
                      <w:rFonts w:eastAsia="华文楷体" w:cs="Arial"/>
                      <w:color w:val="000000"/>
                      <w:sz w:val="16"/>
                      <w:szCs w:val="16"/>
                    </w:rPr>
                    <w:t>:</w:t>
                  </w:r>
                  <w:r>
                    <w:rPr>
                      <w:rFonts w:ascii="华文楷体" w:eastAsia="华文楷体" w:hAnsi="华文楷体" w:hint="eastAsia"/>
                      <w:color w:val="000000"/>
                      <w:sz w:val="16"/>
                      <w:szCs w:val="16"/>
                    </w:rPr>
                    <w:t>乘用车</w:t>
                  </w:r>
                  <w:r>
                    <w:rPr>
                      <w:rFonts w:eastAsia="华文楷体" w:cs="Arial"/>
                      <w:color w:val="000000"/>
                      <w:sz w:val="16"/>
                      <w:szCs w:val="16"/>
                    </w:rPr>
                    <w:t>:</w:t>
                  </w:r>
                  <w:r>
                    <w:rPr>
                      <w:rFonts w:ascii="华文楷体" w:eastAsia="华文楷体" w:hAnsi="华文楷体" w:hint="eastAsia"/>
                      <w:color w:val="000000"/>
                      <w:sz w:val="16"/>
                      <w:szCs w:val="16"/>
                    </w:rPr>
                    <w:t>厂家批发（辆）</w:t>
                  </w:r>
                </w:p>
              </w:tc>
              <w:tc>
                <w:tcPr>
                  <w:tcW w:w="482" w:type="pct"/>
                  <w:tcBorders>
                    <w:top w:val="nil"/>
                    <w:left w:val="nil"/>
                    <w:bottom w:val="nil"/>
                    <w:right w:val="nil"/>
                  </w:tcBorders>
                  <w:shd w:val="clear" w:color="000000" w:fill="DDEBF7"/>
                  <w:noWrap/>
                  <w:vAlign w:val="center"/>
                </w:tcPr>
                <w:p w14:paraId="41B66D0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30020.00 </w:t>
                  </w:r>
                </w:p>
              </w:tc>
              <w:tc>
                <w:tcPr>
                  <w:tcW w:w="356" w:type="pct"/>
                  <w:tcBorders>
                    <w:top w:val="nil"/>
                    <w:left w:val="nil"/>
                    <w:bottom w:val="nil"/>
                    <w:right w:val="nil"/>
                  </w:tcBorders>
                  <w:shd w:val="clear" w:color="000000" w:fill="FDDCD5"/>
                  <w:noWrap/>
                  <w:vAlign w:val="center"/>
                </w:tcPr>
                <w:p w14:paraId="0E810BB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9.00 </w:t>
                  </w:r>
                </w:p>
              </w:tc>
              <w:tc>
                <w:tcPr>
                  <w:tcW w:w="392" w:type="pct"/>
                  <w:tcBorders>
                    <w:top w:val="nil"/>
                    <w:left w:val="nil"/>
                    <w:bottom w:val="nil"/>
                    <w:right w:val="nil"/>
                  </w:tcBorders>
                  <w:shd w:val="clear" w:color="000000" w:fill="E2EFDA"/>
                  <w:noWrap/>
                  <w:vAlign w:val="center"/>
                </w:tcPr>
                <w:p w14:paraId="07AA6BF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-70.45 </w:t>
                  </w:r>
                </w:p>
              </w:tc>
              <w:tc>
                <w:tcPr>
                  <w:tcW w:w="470" w:type="pct"/>
                  <w:tcBorders>
                    <w:top w:val="single" w:sz="4" w:space="0" w:color="auto"/>
                    <w:left w:val="nil"/>
                    <w:bottom w:val="nil"/>
                    <w:right w:val="nil"/>
                  </w:tcBorders>
                  <w:shd w:val="clear" w:color="000000" w:fill="E2EFDA"/>
                  <w:noWrap/>
                  <w:vAlign w:val="center"/>
                </w:tcPr>
                <w:p w14:paraId="2FFC43A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-3.06 </w:t>
                  </w:r>
                </w:p>
              </w:tc>
              <w:tc>
                <w:tcPr>
                  <w:tcW w:w="440" w:type="pct"/>
                  <w:tcBorders>
                    <w:top w:val="single" w:sz="4" w:space="0" w:color="auto"/>
                    <w:left w:val="nil"/>
                    <w:bottom w:val="nil"/>
                    <w:right w:val="nil"/>
                  </w:tcBorders>
                  <w:shd w:val="clear" w:color="000000" w:fill="E2EFDA"/>
                  <w:noWrap/>
                  <w:vAlign w:val="center"/>
                </w:tcPr>
                <w:p w14:paraId="7BBB8F7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-12.19 </w:t>
                  </w:r>
                </w:p>
              </w:tc>
              <w:tc>
                <w:tcPr>
                  <w:tcW w:w="559" w:type="pct"/>
                  <w:tcBorders>
                    <w:top w:val="nil"/>
                    <w:left w:val="nil"/>
                    <w:bottom w:val="nil"/>
                    <w:right w:val="nil"/>
                  </w:tcBorders>
                  <w:shd w:val="clear" w:color="auto" w:fill="auto"/>
                  <w:noWrap/>
                  <w:vAlign w:val="center"/>
                </w:tcPr>
                <w:p w14:paraId="657AC9F9"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tr w:rsidR="004905C9" w:rsidRPr="00D85A79" w14:paraId="7544F10E" w14:textId="77777777" w:rsidTr="00883778">
              <w:trPr>
                <w:trHeight w:val="308"/>
              </w:trPr>
              <w:tc>
                <w:tcPr>
                  <w:tcW w:w="375" w:type="pct"/>
                  <w:vMerge/>
                  <w:tcBorders>
                    <w:top w:val="single" w:sz="4" w:space="0" w:color="auto"/>
                    <w:left w:val="nil"/>
                    <w:bottom w:val="single" w:sz="4" w:space="0" w:color="000000"/>
                    <w:right w:val="nil"/>
                  </w:tcBorders>
                  <w:vAlign w:val="center"/>
                </w:tcPr>
                <w:p w14:paraId="3EBE0A35"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single" w:sz="4" w:space="0" w:color="auto"/>
                    <w:right w:val="nil"/>
                  </w:tcBorders>
                  <w:shd w:val="clear" w:color="auto" w:fill="auto"/>
                  <w:noWrap/>
                  <w:vAlign w:val="center"/>
                </w:tcPr>
                <w:p w14:paraId="1B9A5711"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当周日均销量</w:t>
                  </w:r>
                  <w:r>
                    <w:rPr>
                      <w:rFonts w:eastAsia="华文楷体" w:cs="Arial"/>
                      <w:color w:val="000000"/>
                      <w:sz w:val="16"/>
                      <w:szCs w:val="16"/>
                    </w:rPr>
                    <w:t>:</w:t>
                  </w:r>
                  <w:r>
                    <w:rPr>
                      <w:rFonts w:ascii="华文楷体" w:eastAsia="华文楷体" w:hAnsi="华文楷体" w:hint="eastAsia"/>
                      <w:color w:val="000000"/>
                      <w:sz w:val="16"/>
                      <w:szCs w:val="16"/>
                    </w:rPr>
                    <w:t>乘用车</w:t>
                  </w:r>
                  <w:r>
                    <w:rPr>
                      <w:rFonts w:eastAsia="华文楷体" w:cs="Arial"/>
                      <w:color w:val="000000"/>
                      <w:sz w:val="16"/>
                      <w:szCs w:val="16"/>
                    </w:rPr>
                    <w:t>:</w:t>
                  </w:r>
                  <w:r>
                    <w:rPr>
                      <w:rFonts w:ascii="华文楷体" w:eastAsia="华文楷体" w:hAnsi="华文楷体" w:hint="eastAsia"/>
                      <w:color w:val="000000"/>
                      <w:sz w:val="16"/>
                      <w:szCs w:val="16"/>
                    </w:rPr>
                    <w:t>厂家零售（辆）</w:t>
                  </w:r>
                </w:p>
              </w:tc>
              <w:tc>
                <w:tcPr>
                  <w:tcW w:w="482" w:type="pct"/>
                  <w:tcBorders>
                    <w:top w:val="nil"/>
                    <w:left w:val="nil"/>
                    <w:bottom w:val="single" w:sz="4" w:space="0" w:color="auto"/>
                    <w:right w:val="nil"/>
                  </w:tcBorders>
                  <w:shd w:val="clear" w:color="000000" w:fill="DDEBF7"/>
                  <w:noWrap/>
                  <w:vAlign w:val="center"/>
                </w:tcPr>
                <w:p w14:paraId="0B0AE96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36158.00 </w:t>
                  </w:r>
                </w:p>
              </w:tc>
              <w:tc>
                <w:tcPr>
                  <w:tcW w:w="356" w:type="pct"/>
                  <w:tcBorders>
                    <w:top w:val="nil"/>
                    <w:left w:val="nil"/>
                    <w:bottom w:val="single" w:sz="4" w:space="0" w:color="auto"/>
                    <w:right w:val="nil"/>
                  </w:tcBorders>
                  <w:shd w:val="clear" w:color="000000" w:fill="FDDCD5"/>
                  <w:noWrap/>
                  <w:vAlign w:val="center"/>
                </w:tcPr>
                <w:p w14:paraId="3CA950D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17.32 </w:t>
                  </w:r>
                </w:p>
              </w:tc>
              <w:tc>
                <w:tcPr>
                  <w:tcW w:w="392" w:type="pct"/>
                  <w:tcBorders>
                    <w:top w:val="nil"/>
                    <w:left w:val="nil"/>
                    <w:bottom w:val="single" w:sz="4" w:space="0" w:color="auto"/>
                    <w:right w:val="nil"/>
                  </w:tcBorders>
                  <w:shd w:val="clear" w:color="000000" w:fill="E2EFDA"/>
                  <w:noWrap/>
                  <w:vAlign w:val="center"/>
                </w:tcPr>
                <w:p w14:paraId="4690017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-65.68 </w:t>
                  </w:r>
                </w:p>
              </w:tc>
              <w:tc>
                <w:tcPr>
                  <w:tcW w:w="470" w:type="pct"/>
                  <w:tcBorders>
                    <w:top w:val="nil"/>
                    <w:left w:val="nil"/>
                    <w:bottom w:val="single" w:sz="4" w:space="0" w:color="auto"/>
                    <w:right w:val="nil"/>
                  </w:tcBorders>
                  <w:shd w:val="clear" w:color="000000" w:fill="E2EFDA"/>
                  <w:noWrap/>
                  <w:vAlign w:val="center"/>
                </w:tcPr>
                <w:p w14:paraId="1D94B0C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-1.35 </w:t>
                  </w:r>
                </w:p>
              </w:tc>
              <w:tc>
                <w:tcPr>
                  <w:tcW w:w="440" w:type="pct"/>
                  <w:tcBorders>
                    <w:top w:val="nil"/>
                    <w:left w:val="nil"/>
                    <w:bottom w:val="single" w:sz="4" w:space="0" w:color="auto"/>
                    <w:right w:val="nil"/>
                  </w:tcBorders>
                  <w:shd w:val="clear" w:color="000000" w:fill="E2EFDA"/>
                  <w:noWrap/>
                  <w:vAlign w:val="center"/>
                </w:tcPr>
                <w:p w14:paraId="6C4FBDB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-2.81 </w:t>
                  </w:r>
                </w:p>
              </w:tc>
              <w:tc>
                <w:tcPr>
                  <w:tcW w:w="559" w:type="pct"/>
                  <w:tcBorders>
                    <w:top w:val="nil"/>
                    <w:left w:val="nil"/>
                    <w:bottom w:val="single" w:sz="4" w:space="0" w:color="auto"/>
                    <w:right w:val="nil"/>
                  </w:tcBorders>
                  <w:shd w:val="clear" w:color="auto" w:fill="auto"/>
                  <w:noWrap/>
                  <w:vAlign w:val="center"/>
                </w:tcPr>
                <w:p w14:paraId="4A2E822E" w14:textId="77777777" w:rsidR="004905C9" w:rsidRPr="00D85A79" w:rsidRDefault="004905C9" w:rsidP="00883778">
                  <w:pPr>
                    <w:widowControl/>
                    <w:jc w:val="center"/>
                    <w:rPr>
                      <w:rFonts w:eastAsia="等线" w:cs="Arial"/>
                      <w:kern w:val="0"/>
                      <w:sz w:val="16"/>
                      <w:szCs w:val="16"/>
                      <w:highlight w:val="yellow"/>
                    </w:rPr>
                  </w:pPr>
                  <w:r>
                    <w:rPr>
                      <w:rFonts w:eastAsia="等线" w:cs="Arial"/>
                      <w:sz w:val="16"/>
                      <w:szCs w:val="16"/>
                    </w:rPr>
                    <w:t>2021-08-15</w:t>
                  </w:r>
                </w:p>
              </w:tc>
            </w:tr>
            <w:tr w:rsidR="004905C9" w:rsidRPr="00D85A79" w14:paraId="2DCBF130" w14:textId="77777777" w:rsidTr="00883778">
              <w:trPr>
                <w:trHeight w:val="308"/>
              </w:trPr>
              <w:tc>
                <w:tcPr>
                  <w:tcW w:w="375" w:type="pct"/>
                  <w:vMerge w:val="restart"/>
                  <w:tcBorders>
                    <w:top w:val="single" w:sz="4" w:space="0" w:color="auto"/>
                    <w:left w:val="nil"/>
                    <w:bottom w:val="single" w:sz="4" w:space="0" w:color="000000"/>
                    <w:right w:val="nil"/>
                  </w:tcBorders>
                  <w:shd w:val="clear" w:color="000000" w:fill="FFFFFF"/>
                  <w:noWrap/>
                  <w:vAlign w:val="center"/>
                </w:tcPr>
                <w:p w14:paraId="70E097D3" w14:textId="77777777" w:rsidR="004905C9" w:rsidRPr="00D85A79" w:rsidRDefault="004905C9" w:rsidP="00883778">
                  <w:pPr>
                    <w:widowControl/>
                    <w:jc w:val="center"/>
                    <w:rPr>
                      <w:rFonts w:eastAsia="等线" w:cs="Arial"/>
                      <w:color w:val="000000"/>
                      <w:kern w:val="0"/>
                      <w:sz w:val="16"/>
                      <w:szCs w:val="16"/>
                    </w:rPr>
                  </w:pPr>
                  <w:bookmarkStart w:id="40" w:name="_Hlk76829866"/>
                  <w:r>
                    <w:rPr>
                      <w:rFonts w:ascii="华文楷体" w:eastAsia="华文楷体" w:hAnsi="华文楷体" w:cs="Arial" w:hint="eastAsia"/>
                      <w:color w:val="000000"/>
                      <w:sz w:val="16"/>
                      <w:szCs w:val="16"/>
                    </w:rPr>
                    <w:t>库存</w:t>
                  </w:r>
                </w:p>
              </w:tc>
              <w:tc>
                <w:tcPr>
                  <w:tcW w:w="1926" w:type="pct"/>
                  <w:tcBorders>
                    <w:top w:val="nil"/>
                    <w:left w:val="nil"/>
                    <w:bottom w:val="nil"/>
                    <w:right w:val="nil"/>
                  </w:tcBorders>
                  <w:shd w:val="clear" w:color="auto" w:fill="auto"/>
                  <w:noWrap/>
                  <w:vAlign w:val="center"/>
                </w:tcPr>
                <w:p w14:paraId="732D6FA9"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中国螺纹钢社会库存：合计（万吨）</w:t>
                  </w:r>
                </w:p>
              </w:tc>
              <w:tc>
                <w:tcPr>
                  <w:tcW w:w="482" w:type="pct"/>
                  <w:tcBorders>
                    <w:top w:val="nil"/>
                    <w:left w:val="nil"/>
                    <w:bottom w:val="nil"/>
                    <w:right w:val="nil"/>
                  </w:tcBorders>
                  <w:shd w:val="clear" w:color="000000" w:fill="DDEBF7"/>
                  <w:noWrap/>
                  <w:vAlign w:val="center"/>
                </w:tcPr>
                <w:p w14:paraId="3121A9E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1139.24 </w:t>
                  </w:r>
                </w:p>
              </w:tc>
              <w:tc>
                <w:tcPr>
                  <w:tcW w:w="356" w:type="pct"/>
                  <w:tcBorders>
                    <w:top w:val="nil"/>
                    <w:left w:val="nil"/>
                    <w:bottom w:val="nil"/>
                    <w:right w:val="nil"/>
                  </w:tcBorders>
                  <w:shd w:val="clear" w:color="000000" w:fill="E2EFDA"/>
                  <w:noWrap/>
                  <w:vAlign w:val="center"/>
                </w:tcPr>
                <w:p w14:paraId="737F87A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-1.13 </w:t>
                  </w:r>
                </w:p>
              </w:tc>
              <w:tc>
                <w:tcPr>
                  <w:tcW w:w="392" w:type="pct"/>
                  <w:tcBorders>
                    <w:top w:val="nil"/>
                    <w:left w:val="nil"/>
                    <w:bottom w:val="nil"/>
                    <w:right w:val="nil"/>
                  </w:tcBorders>
                  <w:shd w:val="clear" w:color="000000" w:fill="E2EFDA"/>
                  <w:noWrap/>
                  <w:vAlign w:val="center"/>
                </w:tcPr>
                <w:p w14:paraId="7E83630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-0.70 </w:t>
                  </w:r>
                </w:p>
              </w:tc>
              <w:tc>
                <w:tcPr>
                  <w:tcW w:w="470" w:type="pct"/>
                  <w:tcBorders>
                    <w:top w:val="nil"/>
                    <w:left w:val="nil"/>
                    <w:bottom w:val="nil"/>
                    <w:right w:val="nil"/>
                  </w:tcBorders>
                  <w:shd w:val="clear" w:color="000000" w:fill="FDDCD5"/>
                  <w:noWrap/>
                  <w:vAlign w:val="center"/>
                </w:tcPr>
                <w:p w14:paraId="117C378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0.34 </w:t>
                  </w:r>
                </w:p>
              </w:tc>
              <w:tc>
                <w:tcPr>
                  <w:tcW w:w="440" w:type="pct"/>
                  <w:tcBorders>
                    <w:top w:val="nil"/>
                    <w:left w:val="nil"/>
                    <w:bottom w:val="nil"/>
                    <w:right w:val="nil"/>
                  </w:tcBorders>
                  <w:shd w:val="clear" w:color="000000" w:fill="E2EFDA"/>
                  <w:noWrap/>
                  <w:vAlign w:val="center"/>
                </w:tcPr>
                <w:p w14:paraId="656BF4D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-4.18 </w:t>
                  </w:r>
                </w:p>
              </w:tc>
              <w:tc>
                <w:tcPr>
                  <w:tcW w:w="559" w:type="pct"/>
                  <w:tcBorders>
                    <w:top w:val="nil"/>
                    <w:left w:val="nil"/>
                    <w:bottom w:val="nil"/>
                    <w:right w:val="nil"/>
                  </w:tcBorders>
                  <w:shd w:val="clear" w:color="auto" w:fill="auto"/>
                  <w:noWrap/>
                  <w:vAlign w:val="center"/>
                </w:tcPr>
                <w:p w14:paraId="799D978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2D9B6463" w14:textId="77777777" w:rsidTr="00883778">
              <w:trPr>
                <w:trHeight w:val="308"/>
              </w:trPr>
              <w:tc>
                <w:tcPr>
                  <w:tcW w:w="375" w:type="pct"/>
                  <w:vMerge/>
                  <w:tcBorders>
                    <w:top w:val="single" w:sz="4" w:space="0" w:color="auto"/>
                    <w:left w:val="nil"/>
                    <w:bottom w:val="single" w:sz="4" w:space="0" w:color="000000"/>
                    <w:right w:val="nil"/>
                  </w:tcBorders>
                  <w:vAlign w:val="center"/>
                </w:tcPr>
                <w:p w14:paraId="03F086BF"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nil"/>
                    <w:right w:val="nil"/>
                  </w:tcBorders>
                  <w:shd w:val="clear" w:color="000000" w:fill="FFFFFF"/>
                  <w:noWrap/>
                  <w:vAlign w:val="center"/>
                </w:tcPr>
                <w:p w14:paraId="3D6E0BBA"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中国线材库存：合计（万吨）</w:t>
                  </w:r>
                </w:p>
              </w:tc>
              <w:tc>
                <w:tcPr>
                  <w:tcW w:w="482" w:type="pct"/>
                  <w:tcBorders>
                    <w:top w:val="nil"/>
                    <w:left w:val="nil"/>
                    <w:bottom w:val="nil"/>
                    <w:right w:val="nil"/>
                  </w:tcBorders>
                  <w:shd w:val="clear" w:color="000000" w:fill="DDEBF7"/>
                  <w:noWrap/>
                  <w:vAlign w:val="center"/>
                </w:tcPr>
                <w:p w14:paraId="41C4BD3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152.75 </w:t>
                  </w:r>
                </w:p>
              </w:tc>
              <w:tc>
                <w:tcPr>
                  <w:tcW w:w="356" w:type="pct"/>
                  <w:tcBorders>
                    <w:top w:val="nil"/>
                    <w:left w:val="nil"/>
                    <w:bottom w:val="nil"/>
                    <w:right w:val="nil"/>
                  </w:tcBorders>
                  <w:shd w:val="clear" w:color="000000" w:fill="FDDCD5"/>
                  <w:noWrap/>
                  <w:vAlign w:val="center"/>
                </w:tcPr>
                <w:p w14:paraId="339B5D8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1.97 </w:t>
                  </w:r>
                </w:p>
              </w:tc>
              <w:tc>
                <w:tcPr>
                  <w:tcW w:w="392" w:type="pct"/>
                  <w:tcBorders>
                    <w:top w:val="nil"/>
                    <w:left w:val="nil"/>
                    <w:bottom w:val="nil"/>
                    <w:right w:val="nil"/>
                  </w:tcBorders>
                  <w:shd w:val="clear" w:color="000000" w:fill="E2EFDA"/>
                  <w:noWrap/>
                  <w:vAlign w:val="center"/>
                </w:tcPr>
                <w:p w14:paraId="6A60555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-0.68 </w:t>
                  </w:r>
                </w:p>
              </w:tc>
              <w:tc>
                <w:tcPr>
                  <w:tcW w:w="470" w:type="pct"/>
                  <w:tcBorders>
                    <w:top w:val="nil"/>
                    <w:left w:val="nil"/>
                    <w:bottom w:val="nil"/>
                    <w:right w:val="nil"/>
                  </w:tcBorders>
                  <w:shd w:val="clear" w:color="000000" w:fill="E2EFDA"/>
                  <w:noWrap/>
                  <w:vAlign w:val="center"/>
                </w:tcPr>
                <w:p w14:paraId="0CB5EAA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-4.69 </w:t>
                  </w:r>
                </w:p>
              </w:tc>
              <w:tc>
                <w:tcPr>
                  <w:tcW w:w="440" w:type="pct"/>
                  <w:tcBorders>
                    <w:top w:val="nil"/>
                    <w:left w:val="nil"/>
                    <w:bottom w:val="nil"/>
                    <w:right w:val="nil"/>
                  </w:tcBorders>
                  <w:shd w:val="clear" w:color="000000" w:fill="E2EFDA"/>
                  <w:noWrap/>
                  <w:vAlign w:val="center"/>
                </w:tcPr>
                <w:p w14:paraId="39F6F30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-21.64 </w:t>
                  </w:r>
                </w:p>
              </w:tc>
              <w:tc>
                <w:tcPr>
                  <w:tcW w:w="559" w:type="pct"/>
                  <w:tcBorders>
                    <w:top w:val="nil"/>
                    <w:left w:val="nil"/>
                    <w:bottom w:val="nil"/>
                    <w:right w:val="nil"/>
                  </w:tcBorders>
                  <w:shd w:val="clear" w:color="auto" w:fill="auto"/>
                  <w:noWrap/>
                  <w:vAlign w:val="center"/>
                </w:tcPr>
                <w:p w14:paraId="51D6843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3437E427" w14:textId="77777777" w:rsidTr="00883778">
              <w:trPr>
                <w:trHeight w:val="308"/>
              </w:trPr>
              <w:tc>
                <w:tcPr>
                  <w:tcW w:w="375" w:type="pct"/>
                  <w:vMerge/>
                  <w:tcBorders>
                    <w:top w:val="single" w:sz="4" w:space="0" w:color="auto"/>
                    <w:left w:val="nil"/>
                    <w:bottom w:val="single" w:sz="4" w:space="0" w:color="000000"/>
                    <w:right w:val="nil"/>
                  </w:tcBorders>
                  <w:vAlign w:val="center"/>
                </w:tcPr>
                <w:p w14:paraId="3D66F019"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single" w:sz="4" w:space="0" w:color="auto"/>
                    <w:right w:val="nil"/>
                  </w:tcBorders>
                  <w:shd w:val="clear" w:color="auto" w:fill="auto"/>
                  <w:noWrap/>
                  <w:vAlign w:val="center"/>
                </w:tcPr>
                <w:p w14:paraId="3115C986"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中国热轧板库存:合计（万吨）</w:t>
                  </w:r>
                </w:p>
              </w:tc>
              <w:tc>
                <w:tcPr>
                  <w:tcW w:w="482" w:type="pct"/>
                  <w:tcBorders>
                    <w:top w:val="nil"/>
                    <w:left w:val="nil"/>
                    <w:bottom w:val="single" w:sz="4" w:space="0" w:color="auto"/>
                    <w:right w:val="nil"/>
                  </w:tcBorders>
                  <w:shd w:val="clear" w:color="000000" w:fill="DDEBF7"/>
                  <w:noWrap/>
                  <w:vAlign w:val="center"/>
                </w:tcPr>
                <w:p w14:paraId="2BE0D66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299.62 </w:t>
                  </w:r>
                </w:p>
              </w:tc>
              <w:tc>
                <w:tcPr>
                  <w:tcW w:w="356" w:type="pct"/>
                  <w:tcBorders>
                    <w:top w:val="nil"/>
                    <w:left w:val="nil"/>
                    <w:bottom w:val="single" w:sz="4" w:space="0" w:color="auto"/>
                    <w:right w:val="nil"/>
                  </w:tcBorders>
                  <w:shd w:val="clear" w:color="000000" w:fill="E2EFDA"/>
                  <w:noWrap/>
                  <w:vAlign w:val="center"/>
                </w:tcPr>
                <w:p w14:paraId="6B8CD94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-0.15 </w:t>
                  </w:r>
                </w:p>
              </w:tc>
              <w:tc>
                <w:tcPr>
                  <w:tcW w:w="392" w:type="pct"/>
                  <w:tcBorders>
                    <w:top w:val="nil"/>
                    <w:left w:val="nil"/>
                    <w:bottom w:val="single" w:sz="4" w:space="0" w:color="auto"/>
                    <w:right w:val="nil"/>
                  </w:tcBorders>
                  <w:shd w:val="clear" w:color="000000" w:fill="FDDCD5"/>
                  <w:noWrap/>
                  <w:vAlign w:val="center"/>
                </w:tcPr>
                <w:p w14:paraId="157909D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0.02 </w:t>
                  </w:r>
                </w:p>
              </w:tc>
              <w:tc>
                <w:tcPr>
                  <w:tcW w:w="470" w:type="pct"/>
                  <w:tcBorders>
                    <w:top w:val="nil"/>
                    <w:left w:val="nil"/>
                    <w:bottom w:val="single" w:sz="4" w:space="0" w:color="auto"/>
                    <w:right w:val="nil"/>
                  </w:tcBorders>
                  <w:shd w:val="clear" w:color="000000" w:fill="FDDCD5"/>
                  <w:noWrap/>
                  <w:vAlign w:val="center"/>
                </w:tcPr>
                <w:p w14:paraId="5F7B065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4.00 </w:t>
                  </w:r>
                </w:p>
              </w:tc>
              <w:tc>
                <w:tcPr>
                  <w:tcW w:w="440" w:type="pct"/>
                  <w:tcBorders>
                    <w:top w:val="nil"/>
                    <w:left w:val="nil"/>
                    <w:bottom w:val="single" w:sz="4" w:space="0" w:color="auto"/>
                    <w:right w:val="nil"/>
                  </w:tcBorders>
                  <w:shd w:val="clear" w:color="000000" w:fill="FDDCD5"/>
                  <w:noWrap/>
                  <w:vAlign w:val="center"/>
                </w:tcPr>
                <w:p w14:paraId="0DAE5EB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9.69 </w:t>
                  </w:r>
                </w:p>
              </w:tc>
              <w:tc>
                <w:tcPr>
                  <w:tcW w:w="559" w:type="pct"/>
                  <w:tcBorders>
                    <w:top w:val="nil"/>
                    <w:left w:val="nil"/>
                    <w:bottom w:val="single" w:sz="4" w:space="0" w:color="auto"/>
                    <w:right w:val="nil"/>
                  </w:tcBorders>
                  <w:shd w:val="clear" w:color="auto" w:fill="auto"/>
                  <w:noWrap/>
                  <w:vAlign w:val="center"/>
                </w:tcPr>
                <w:p w14:paraId="7575688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bookmarkEnd w:id="40"/>
            <w:tr w:rsidR="004905C9" w:rsidRPr="00D85A79" w14:paraId="6B56296B" w14:textId="77777777" w:rsidTr="00883778">
              <w:trPr>
                <w:trHeight w:val="308"/>
              </w:trPr>
              <w:tc>
                <w:tcPr>
                  <w:tcW w:w="375" w:type="pct"/>
                  <w:vMerge w:val="restart"/>
                  <w:tcBorders>
                    <w:top w:val="single" w:sz="4" w:space="0" w:color="auto"/>
                    <w:left w:val="nil"/>
                    <w:bottom w:val="single" w:sz="4" w:space="0" w:color="000000"/>
                    <w:right w:val="nil"/>
                  </w:tcBorders>
                  <w:shd w:val="clear" w:color="000000" w:fill="FFFFFF"/>
                  <w:noWrap/>
                  <w:vAlign w:val="center"/>
                </w:tcPr>
                <w:p w14:paraId="5F386F3A" w14:textId="77777777" w:rsidR="004905C9" w:rsidRPr="00D85A79" w:rsidRDefault="004905C9" w:rsidP="00883778">
                  <w:pPr>
                    <w:widowControl/>
                    <w:jc w:val="center"/>
                    <w:rPr>
                      <w:rFonts w:eastAsia="等线" w:cs="Arial"/>
                      <w:color w:val="000000"/>
                      <w:kern w:val="0"/>
                      <w:sz w:val="16"/>
                      <w:szCs w:val="16"/>
                    </w:rPr>
                  </w:pPr>
                  <w:r>
                    <w:rPr>
                      <w:rFonts w:ascii="华文楷体" w:eastAsia="华文楷体" w:hAnsi="华文楷体" w:cs="Arial" w:hint="eastAsia"/>
                      <w:color w:val="000000"/>
                      <w:sz w:val="16"/>
                      <w:szCs w:val="16"/>
                    </w:rPr>
                    <w:t>出口</w:t>
                  </w:r>
                </w:p>
              </w:tc>
              <w:tc>
                <w:tcPr>
                  <w:tcW w:w="1926" w:type="pct"/>
                  <w:tcBorders>
                    <w:top w:val="single" w:sz="4" w:space="0" w:color="auto"/>
                    <w:left w:val="nil"/>
                    <w:bottom w:val="nil"/>
                    <w:right w:val="nil"/>
                  </w:tcBorders>
                  <w:shd w:val="clear" w:color="000000" w:fill="FFFFFF"/>
                  <w:noWrap/>
                  <w:vAlign w:val="center"/>
                </w:tcPr>
                <w:p w14:paraId="130FF3B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CCFI</w:t>
                  </w:r>
                  <w:r>
                    <w:rPr>
                      <w:rFonts w:ascii="华文楷体" w:eastAsia="华文楷体" w:hAnsi="华文楷体" w:cs="Arial" w:hint="eastAsia"/>
                      <w:color w:val="000000"/>
                      <w:sz w:val="16"/>
                      <w:szCs w:val="16"/>
                    </w:rPr>
                    <w:t>（点）</w:t>
                  </w:r>
                </w:p>
              </w:tc>
              <w:tc>
                <w:tcPr>
                  <w:tcW w:w="482" w:type="pct"/>
                  <w:tcBorders>
                    <w:top w:val="nil"/>
                    <w:left w:val="nil"/>
                    <w:bottom w:val="nil"/>
                    <w:right w:val="nil"/>
                  </w:tcBorders>
                  <w:shd w:val="clear" w:color="000000" w:fill="DDEBF7"/>
                  <w:noWrap/>
                  <w:vAlign w:val="center"/>
                </w:tcPr>
                <w:p w14:paraId="66057FA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3047.32 </w:t>
                  </w:r>
                </w:p>
              </w:tc>
              <w:tc>
                <w:tcPr>
                  <w:tcW w:w="356" w:type="pct"/>
                  <w:tcBorders>
                    <w:top w:val="nil"/>
                    <w:left w:val="nil"/>
                    <w:bottom w:val="nil"/>
                    <w:right w:val="nil"/>
                  </w:tcBorders>
                  <w:shd w:val="clear" w:color="000000" w:fill="FDDCD5"/>
                  <w:noWrap/>
                  <w:vAlign w:val="center"/>
                </w:tcPr>
                <w:p w14:paraId="7C002BF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2.31 </w:t>
                  </w:r>
                </w:p>
              </w:tc>
              <w:tc>
                <w:tcPr>
                  <w:tcW w:w="392" w:type="pct"/>
                  <w:tcBorders>
                    <w:top w:val="nil"/>
                    <w:left w:val="nil"/>
                    <w:bottom w:val="nil"/>
                    <w:right w:val="nil"/>
                  </w:tcBorders>
                  <w:shd w:val="clear" w:color="000000" w:fill="E2EFDA"/>
                  <w:noWrap/>
                  <w:vAlign w:val="center"/>
                </w:tcPr>
                <w:p w14:paraId="2DA4C428"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-0.94 </w:t>
                  </w:r>
                </w:p>
              </w:tc>
              <w:tc>
                <w:tcPr>
                  <w:tcW w:w="470" w:type="pct"/>
                  <w:tcBorders>
                    <w:top w:val="nil"/>
                    <w:left w:val="nil"/>
                    <w:bottom w:val="nil"/>
                    <w:right w:val="nil"/>
                  </w:tcBorders>
                  <w:shd w:val="clear" w:color="000000" w:fill="FDDCD5"/>
                  <w:noWrap/>
                  <w:vAlign w:val="center"/>
                </w:tcPr>
                <w:p w14:paraId="2506096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35.34 </w:t>
                  </w:r>
                </w:p>
              </w:tc>
              <w:tc>
                <w:tcPr>
                  <w:tcW w:w="440" w:type="pct"/>
                  <w:tcBorders>
                    <w:top w:val="nil"/>
                    <w:left w:val="nil"/>
                    <w:bottom w:val="nil"/>
                    <w:right w:val="nil"/>
                  </w:tcBorders>
                  <w:shd w:val="clear" w:color="000000" w:fill="FDDCD5"/>
                  <w:noWrap/>
                  <w:vAlign w:val="center"/>
                </w:tcPr>
                <w:p w14:paraId="73A26F5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232.57 </w:t>
                  </w:r>
                </w:p>
              </w:tc>
              <w:tc>
                <w:tcPr>
                  <w:tcW w:w="559" w:type="pct"/>
                  <w:tcBorders>
                    <w:top w:val="nil"/>
                    <w:left w:val="nil"/>
                    <w:bottom w:val="nil"/>
                    <w:right w:val="nil"/>
                  </w:tcBorders>
                  <w:shd w:val="clear" w:color="auto" w:fill="auto"/>
                  <w:noWrap/>
                  <w:vAlign w:val="center"/>
                </w:tcPr>
                <w:p w14:paraId="3996DAD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7C8A718B" w14:textId="77777777" w:rsidTr="00883778">
              <w:trPr>
                <w:trHeight w:val="308"/>
              </w:trPr>
              <w:tc>
                <w:tcPr>
                  <w:tcW w:w="375" w:type="pct"/>
                  <w:vMerge/>
                  <w:tcBorders>
                    <w:top w:val="single" w:sz="4" w:space="0" w:color="auto"/>
                    <w:left w:val="nil"/>
                    <w:bottom w:val="single" w:sz="4" w:space="0" w:color="000000"/>
                    <w:right w:val="nil"/>
                  </w:tcBorders>
                  <w:vAlign w:val="center"/>
                </w:tcPr>
                <w:p w14:paraId="637FDA5E"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single" w:sz="4" w:space="0" w:color="auto"/>
                    <w:right w:val="nil"/>
                  </w:tcBorders>
                  <w:shd w:val="clear" w:color="000000" w:fill="FFFFFF"/>
                  <w:noWrap/>
                  <w:vAlign w:val="center"/>
                </w:tcPr>
                <w:p w14:paraId="3AE9229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SCFI</w:t>
                  </w:r>
                  <w:r>
                    <w:rPr>
                      <w:rFonts w:ascii="华文楷体" w:eastAsia="华文楷体" w:hAnsi="华文楷体" w:cs="Arial" w:hint="eastAsia"/>
                      <w:color w:val="000000"/>
                      <w:sz w:val="16"/>
                      <w:szCs w:val="16"/>
                    </w:rPr>
                    <w:t>（点）</w:t>
                  </w:r>
                </w:p>
              </w:tc>
              <w:tc>
                <w:tcPr>
                  <w:tcW w:w="482" w:type="pct"/>
                  <w:tcBorders>
                    <w:top w:val="nil"/>
                    <w:left w:val="nil"/>
                    <w:bottom w:val="single" w:sz="4" w:space="0" w:color="auto"/>
                    <w:right w:val="nil"/>
                  </w:tcBorders>
                  <w:shd w:val="clear" w:color="000000" w:fill="DDEBF7"/>
                  <w:noWrap/>
                  <w:vAlign w:val="center"/>
                </w:tcPr>
                <w:p w14:paraId="1CE0B78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4340.18 </w:t>
                  </w:r>
                </w:p>
              </w:tc>
              <w:tc>
                <w:tcPr>
                  <w:tcW w:w="356" w:type="pct"/>
                  <w:tcBorders>
                    <w:top w:val="nil"/>
                    <w:left w:val="nil"/>
                    <w:bottom w:val="single" w:sz="4" w:space="0" w:color="auto"/>
                    <w:right w:val="nil"/>
                  </w:tcBorders>
                  <w:shd w:val="clear" w:color="000000" w:fill="FDDCD5"/>
                  <w:noWrap/>
                  <w:vAlign w:val="center"/>
                </w:tcPr>
                <w:p w14:paraId="73EE54A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1.37 </w:t>
                  </w:r>
                </w:p>
              </w:tc>
              <w:tc>
                <w:tcPr>
                  <w:tcW w:w="392" w:type="pct"/>
                  <w:tcBorders>
                    <w:top w:val="nil"/>
                    <w:left w:val="nil"/>
                    <w:bottom w:val="single" w:sz="4" w:space="0" w:color="auto"/>
                    <w:right w:val="nil"/>
                  </w:tcBorders>
                  <w:shd w:val="clear" w:color="000000" w:fill="FDDCD5"/>
                  <w:noWrap/>
                  <w:vAlign w:val="center"/>
                </w:tcPr>
                <w:p w14:paraId="19320F2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1.32 </w:t>
                  </w:r>
                </w:p>
              </w:tc>
              <w:tc>
                <w:tcPr>
                  <w:tcW w:w="470" w:type="pct"/>
                  <w:tcBorders>
                    <w:top w:val="nil"/>
                    <w:left w:val="nil"/>
                    <w:bottom w:val="single" w:sz="4" w:space="0" w:color="auto"/>
                    <w:right w:val="nil"/>
                  </w:tcBorders>
                  <w:shd w:val="clear" w:color="000000" w:fill="FDDCD5"/>
                  <w:noWrap/>
                  <w:vAlign w:val="center"/>
                </w:tcPr>
                <w:p w14:paraId="307C943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26.32 </w:t>
                  </w:r>
                </w:p>
              </w:tc>
              <w:tc>
                <w:tcPr>
                  <w:tcW w:w="440" w:type="pct"/>
                  <w:tcBorders>
                    <w:top w:val="nil"/>
                    <w:left w:val="nil"/>
                    <w:bottom w:val="single" w:sz="4" w:space="0" w:color="auto"/>
                    <w:right w:val="nil"/>
                  </w:tcBorders>
                  <w:shd w:val="clear" w:color="000000" w:fill="FDDCD5"/>
                  <w:noWrap/>
                  <w:vAlign w:val="center"/>
                </w:tcPr>
                <w:p w14:paraId="364E4F7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344.51 </w:t>
                  </w:r>
                </w:p>
              </w:tc>
              <w:tc>
                <w:tcPr>
                  <w:tcW w:w="559" w:type="pct"/>
                  <w:tcBorders>
                    <w:top w:val="nil"/>
                    <w:left w:val="nil"/>
                    <w:bottom w:val="single" w:sz="4" w:space="0" w:color="auto"/>
                    <w:right w:val="nil"/>
                  </w:tcBorders>
                  <w:shd w:val="clear" w:color="auto" w:fill="auto"/>
                  <w:noWrap/>
                  <w:vAlign w:val="center"/>
                </w:tcPr>
                <w:p w14:paraId="754BEB2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23738862" w14:textId="77777777" w:rsidTr="00883778">
              <w:trPr>
                <w:trHeight w:val="308"/>
              </w:trPr>
              <w:tc>
                <w:tcPr>
                  <w:tcW w:w="375" w:type="pct"/>
                  <w:vMerge w:val="restart"/>
                  <w:tcBorders>
                    <w:top w:val="nil"/>
                    <w:left w:val="nil"/>
                    <w:bottom w:val="nil"/>
                    <w:right w:val="nil"/>
                  </w:tcBorders>
                  <w:shd w:val="clear" w:color="000000" w:fill="FFFFFF"/>
                  <w:noWrap/>
                  <w:vAlign w:val="center"/>
                </w:tcPr>
                <w:p w14:paraId="6632CAEB" w14:textId="77777777" w:rsidR="004905C9" w:rsidRPr="00D85A79" w:rsidRDefault="004905C9" w:rsidP="00883778">
                  <w:pPr>
                    <w:widowControl/>
                    <w:jc w:val="center"/>
                    <w:rPr>
                      <w:rFonts w:eastAsia="等线" w:cs="Arial"/>
                      <w:color w:val="000000"/>
                      <w:kern w:val="0"/>
                      <w:sz w:val="16"/>
                      <w:szCs w:val="16"/>
                    </w:rPr>
                  </w:pPr>
                  <w:r>
                    <w:rPr>
                      <w:rFonts w:ascii="华文楷体" w:eastAsia="华文楷体" w:hAnsi="华文楷体" w:cs="Arial" w:hint="eastAsia"/>
                      <w:color w:val="000000"/>
                      <w:sz w:val="16"/>
                      <w:szCs w:val="16"/>
                    </w:rPr>
                    <w:t>进口</w:t>
                  </w:r>
                </w:p>
              </w:tc>
              <w:tc>
                <w:tcPr>
                  <w:tcW w:w="1926" w:type="pct"/>
                  <w:tcBorders>
                    <w:top w:val="nil"/>
                    <w:left w:val="nil"/>
                    <w:bottom w:val="nil"/>
                    <w:right w:val="nil"/>
                  </w:tcBorders>
                  <w:shd w:val="clear" w:color="000000" w:fill="FFFFFF"/>
                  <w:noWrap/>
                  <w:vAlign w:val="center"/>
                </w:tcPr>
                <w:p w14:paraId="459F891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BDI</w:t>
                  </w:r>
                  <w:r>
                    <w:rPr>
                      <w:rFonts w:ascii="华文楷体" w:eastAsia="华文楷体" w:hAnsi="华文楷体" w:cs="Arial" w:hint="eastAsia"/>
                      <w:color w:val="000000"/>
                      <w:sz w:val="16"/>
                      <w:szCs w:val="16"/>
                    </w:rPr>
                    <w:t>（点）</w:t>
                  </w:r>
                </w:p>
              </w:tc>
              <w:tc>
                <w:tcPr>
                  <w:tcW w:w="482" w:type="pct"/>
                  <w:tcBorders>
                    <w:top w:val="nil"/>
                    <w:left w:val="nil"/>
                    <w:bottom w:val="nil"/>
                    <w:right w:val="nil"/>
                  </w:tcBorders>
                  <w:shd w:val="clear" w:color="000000" w:fill="DDEBF7"/>
                  <w:noWrap/>
                  <w:vAlign w:val="center"/>
                </w:tcPr>
                <w:p w14:paraId="145B0A8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4092.00 </w:t>
                  </w:r>
                </w:p>
              </w:tc>
              <w:tc>
                <w:tcPr>
                  <w:tcW w:w="356" w:type="pct"/>
                  <w:tcBorders>
                    <w:top w:val="nil"/>
                    <w:left w:val="nil"/>
                    <w:bottom w:val="nil"/>
                    <w:right w:val="nil"/>
                  </w:tcBorders>
                  <w:shd w:val="clear" w:color="000000" w:fill="FDDCD5"/>
                  <w:noWrap/>
                  <w:vAlign w:val="center"/>
                </w:tcPr>
                <w:p w14:paraId="03AFA85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14.75 </w:t>
                  </w:r>
                </w:p>
              </w:tc>
              <w:tc>
                <w:tcPr>
                  <w:tcW w:w="392" w:type="pct"/>
                  <w:tcBorders>
                    <w:top w:val="nil"/>
                    <w:left w:val="nil"/>
                    <w:bottom w:val="nil"/>
                    <w:right w:val="nil"/>
                  </w:tcBorders>
                  <w:shd w:val="clear" w:color="000000" w:fill="FDDCD5"/>
                  <w:noWrap/>
                  <w:vAlign w:val="center"/>
                </w:tcPr>
                <w:p w14:paraId="04DA26D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5.78 </w:t>
                  </w:r>
                </w:p>
              </w:tc>
              <w:tc>
                <w:tcPr>
                  <w:tcW w:w="470" w:type="pct"/>
                  <w:tcBorders>
                    <w:top w:val="nil"/>
                    <w:left w:val="nil"/>
                    <w:bottom w:val="nil"/>
                    <w:right w:val="nil"/>
                  </w:tcBorders>
                  <w:shd w:val="clear" w:color="000000" w:fill="FDDCD5"/>
                  <w:noWrap/>
                  <w:vAlign w:val="center"/>
                </w:tcPr>
                <w:p w14:paraId="4011BF88"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10.60 </w:t>
                  </w:r>
                </w:p>
              </w:tc>
              <w:tc>
                <w:tcPr>
                  <w:tcW w:w="440" w:type="pct"/>
                  <w:tcBorders>
                    <w:top w:val="nil"/>
                    <w:left w:val="nil"/>
                    <w:bottom w:val="nil"/>
                    <w:right w:val="nil"/>
                  </w:tcBorders>
                  <w:shd w:val="clear" w:color="000000" w:fill="FDDCD5"/>
                  <w:noWrap/>
                  <w:vAlign w:val="center"/>
                </w:tcPr>
                <w:p w14:paraId="03ED96A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132.07 </w:t>
                  </w:r>
                </w:p>
              </w:tc>
              <w:tc>
                <w:tcPr>
                  <w:tcW w:w="559" w:type="pct"/>
                  <w:tcBorders>
                    <w:top w:val="nil"/>
                    <w:left w:val="nil"/>
                    <w:bottom w:val="nil"/>
                    <w:right w:val="nil"/>
                  </w:tcBorders>
                  <w:shd w:val="clear" w:color="auto" w:fill="auto"/>
                  <w:noWrap/>
                  <w:vAlign w:val="center"/>
                </w:tcPr>
                <w:p w14:paraId="4CBA559F" w14:textId="77777777" w:rsidR="004905C9" w:rsidRPr="00D85A79" w:rsidRDefault="004905C9" w:rsidP="00883778">
                  <w:pPr>
                    <w:widowControl/>
                    <w:jc w:val="center"/>
                    <w:rPr>
                      <w:rFonts w:eastAsia="等线" w:cs="Arial"/>
                      <w:color w:val="000000"/>
                      <w:kern w:val="0"/>
                      <w:sz w:val="16"/>
                      <w:szCs w:val="16"/>
                    </w:rPr>
                  </w:pPr>
                  <w:r>
                    <w:rPr>
                      <w:rFonts w:eastAsia="等线" w:cs="Arial"/>
                      <w:sz w:val="16"/>
                      <w:szCs w:val="16"/>
                    </w:rPr>
                    <w:t>2021-08-20</w:t>
                  </w:r>
                </w:p>
              </w:tc>
            </w:tr>
            <w:tr w:rsidR="004905C9" w:rsidRPr="00D85A79" w14:paraId="5B632A5B" w14:textId="77777777" w:rsidTr="00883778">
              <w:trPr>
                <w:trHeight w:val="308"/>
              </w:trPr>
              <w:tc>
                <w:tcPr>
                  <w:tcW w:w="375" w:type="pct"/>
                  <w:vMerge/>
                  <w:tcBorders>
                    <w:top w:val="nil"/>
                    <w:left w:val="nil"/>
                    <w:bottom w:val="nil"/>
                    <w:right w:val="nil"/>
                  </w:tcBorders>
                  <w:vAlign w:val="center"/>
                </w:tcPr>
                <w:p w14:paraId="2243E65A" w14:textId="77777777" w:rsidR="004905C9" w:rsidRPr="00D85A79" w:rsidRDefault="004905C9" w:rsidP="00883778">
                  <w:pPr>
                    <w:widowControl/>
                    <w:jc w:val="center"/>
                    <w:rPr>
                      <w:rFonts w:eastAsia="等线" w:cs="Arial"/>
                      <w:color w:val="000000"/>
                      <w:kern w:val="0"/>
                      <w:sz w:val="16"/>
                      <w:szCs w:val="16"/>
                    </w:rPr>
                  </w:pPr>
                </w:p>
              </w:tc>
              <w:tc>
                <w:tcPr>
                  <w:tcW w:w="1926" w:type="pct"/>
                  <w:tcBorders>
                    <w:top w:val="nil"/>
                    <w:left w:val="nil"/>
                    <w:bottom w:val="nil"/>
                    <w:right w:val="nil"/>
                  </w:tcBorders>
                  <w:shd w:val="clear" w:color="auto" w:fill="auto"/>
                  <w:noWrap/>
                  <w:vAlign w:val="center"/>
                </w:tcPr>
                <w:p w14:paraId="21E8E0D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CDFI</w:t>
                  </w:r>
                  <w:r>
                    <w:rPr>
                      <w:rFonts w:ascii="华文楷体" w:eastAsia="华文楷体" w:hAnsi="华文楷体" w:cs="Arial" w:hint="eastAsia"/>
                      <w:color w:val="000000"/>
                      <w:sz w:val="16"/>
                      <w:szCs w:val="16"/>
                    </w:rPr>
                    <w:t>（点）</w:t>
                  </w:r>
                </w:p>
              </w:tc>
              <w:tc>
                <w:tcPr>
                  <w:tcW w:w="482" w:type="pct"/>
                  <w:tcBorders>
                    <w:top w:val="nil"/>
                    <w:left w:val="nil"/>
                    <w:bottom w:val="nil"/>
                    <w:right w:val="nil"/>
                  </w:tcBorders>
                  <w:shd w:val="clear" w:color="000000" w:fill="DDEBF7"/>
                  <w:noWrap/>
                  <w:vAlign w:val="center"/>
                </w:tcPr>
                <w:p w14:paraId="7E0753C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1839.11 </w:t>
                  </w:r>
                </w:p>
              </w:tc>
              <w:tc>
                <w:tcPr>
                  <w:tcW w:w="356" w:type="pct"/>
                  <w:tcBorders>
                    <w:top w:val="nil"/>
                    <w:left w:val="nil"/>
                    <w:bottom w:val="nil"/>
                    <w:right w:val="nil"/>
                  </w:tcBorders>
                  <w:shd w:val="clear" w:color="000000" w:fill="FDDCD5"/>
                  <w:noWrap/>
                  <w:vAlign w:val="center"/>
                </w:tcPr>
                <w:p w14:paraId="7A25DCC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6.60 </w:t>
                  </w:r>
                </w:p>
              </w:tc>
              <w:tc>
                <w:tcPr>
                  <w:tcW w:w="392" w:type="pct"/>
                  <w:tcBorders>
                    <w:top w:val="nil"/>
                    <w:left w:val="nil"/>
                    <w:bottom w:val="nil"/>
                    <w:right w:val="nil"/>
                  </w:tcBorders>
                  <w:shd w:val="clear" w:color="000000" w:fill="FDDCD5"/>
                  <w:noWrap/>
                  <w:vAlign w:val="center"/>
                </w:tcPr>
                <w:p w14:paraId="19946058"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2.92 </w:t>
                  </w:r>
                </w:p>
              </w:tc>
              <w:tc>
                <w:tcPr>
                  <w:tcW w:w="470" w:type="pct"/>
                  <w:tcBorders>
                    <w:top w:val="nil"/>
                    <w:left w:val="nil"/>
                    <w:bottom w:val="nil"/>
                    <w:right w:val="nil"/>
                  </w:tcBorders>
                  <w:shd w:val="clear" w:color="000000" w:fill="FDDCD5"/>
                  <w:noWrap/>
                  <w:vAlign w:val="center"/>
                </w:tcPr>
                <w:p w14:paraId="6C40C88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9.32 </w:t>
                  </w:r>
                </w:p>
              </w:tc>
              <w:tc>
                <w:tcPr>
                  <w:tcW w:w="440" w:type="pct"/>
                  <w:tcBorders>
                    <w:top w:val="nil"/>
                    <w:left w:val="nil"/>
                    <w:bottom w:val="nil"/>
                    <w:right w:val="nil"/>
                  </w:tcBorders>
                  <w:shd w:val="clear" w:color="000000" w:fill="FDDCD5"/>
                  <w:noWrap/>
                  <w:vAlign w:val="center"/>
                </w:tcPr>
                <w:p w14:paraId="0C5A354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96.13 </w:t>
                  </w:r>
                </w:p>
              </w:tc>
              <w:tc>
                <w:tcPr>
                  <w:tcW w:w="559" w:type="pct"/>
                  <w:tcBorders>
                    <w:top w:val="nil"/>
                    <w:left w:val="nil"/>
                    <w:bottom w:val="nil"/>
                    <w:right w:val="nil"/>
                  </w:tcBorders>
                  <w:shd w:val="clear" w:color="auto" w:fill="auto"/>
                  <w:noWrap/>
                  <w:vAlign w:val="center"/>
                </w:tcPr>
                <w:p w14:paraId="7BBB4C18"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bl>
          <w:p w14:paraId="065CC5CB" w14:textId="77777777" w:rsidR="004905C9" w:rsidRPr="00D85A79" w:rsidRDefault="004905C9" w:rsidP="00883778"/>
        </w:tc>
      </w:tr>
      <w:tr w:rsidR="004905C9" w:rsidRPr="00D85A79" w14:paraId="3A1F78BF" w14:textId="77777777" w:rsidTr="00883778">
        <w:trPr>
          <w:trHeight w:val="113"/>
        </w:trPr>
        <w:tc>
          <w:tcPr>
            <w:tcW w:w="10420" w:type="dxa"/>
            <w:tcBorders>
              <w:top w:val="single" w:sz="8" w:space="0" w:color="C00000"/>
            </w:tcBorders>
            <w:shd w:val="clear" w:color="auto" w:fill="auto"/>
          </w:tcPr>
          <w:p w14:paraId="5A7E4B66" w14:textId="77777777" w:rsidR="004905C9" w:rsidRPr="00D85A79" w:rsidRDefault="004905C9" w:rsidP="00883778">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r>
    </w:tbl>
    <w:p w14:paraId="6468186B" w14:textId="77777777" w:rsidR="004905C9" w:rsidRPr="002C391B" w:rsidRDefault="004905C9" w:rsidP="00247D79">
      <w:pPr>
        <w:ind w:left="3681"/>
        <w:rPr>
          <w:bCs/>
        </w:rPr>
      </w:pPr>
    </w:p>
    <w:p w14:paraId="087DA355" w14:textId="0E405A2C" w:rsidR="004905C9" w:rsidRPr="009304B7" w:rsidRDefault="004905C9" w:rsidP="00597AC0">
      <w:pPr>
        <w:pStyle w:val="aff5"/>
        <w:numPr>
          <w:ilvl w:val="0"/>
          <w:numId w:val="5"/>
        </w:numPr>
        <w:ind w:firstLineChars="0"/>
        <w:rPr>
          <w:rFonts w:cs="Arial"/>
          <w:b/>
          <w:bCs/>
          <w:szCs w:val="21"/>
        </w:rPr>
      </w:pPr>
      <w:r w:rsidRPr="009304B7">
        <w:rPr>
          <w:rFonts w:cs="Arial" w:hint="eastAsia"/>
          <w:b/>
          <w:bCs/>
          <w:szCs w:val="21"/>
        </w:rPr>
        <w:t>价格</w:t>
      </w:r>
      <w:r w:rsidR="003A6447">
        <w:rPr>
          <w:rFonts w:cs="Arial" w:hint="eastAsia"/>
          <w:b/>
          <w:bCs/>
          <w:szCs w:val="21"/>
        </w:rPr>
        <w:t>：食品与</w:t>
      </w:r>
      <w:r w:rsidR="00404FB3">
        <w:rPr>
          <w:rFonts w:cs="Arial" w:hint="eastAsia"/>
          <w:b/>
          <w:bCs/>
          <w:szCs w:val="21"/>
        </w:rPr>
        <w:t>原材料</w:t>
      </w:r>
      <w:r w:rsidR="003A6447">
        <w:rPr>
          <w:rFonts w:cs="Arial" w:hint="eastAsia"/>
          <w:b/>
          <w:bCs/>
          <w:szCs w:val="21"/>
        </w:rPr>
        <w:t>价格多数收跌</w:t>
      </w:r>
    </w:p>
    <w:p w14:paraId="56EF9AEA" w14:textId="714932A1" w:rsidR="004905C9" w:rsidRPr="00193348" w:rsidRDefault="003A6447" w:rsidP="00247D79">
      <w:pPr>
        <w:ind w:left="3681"/>
        <w:rPr>
          <w:rFonts w:cs="Arial"/>
          <w:szCs w:val="21"/>
        </w:rPr>
      </w:pPr>
      <w:r>
        <w:rPr>
          <w:rFonts w:cs="Arial" w:hint="eastAsia"/>
          <w:b/>
          <w:bCs/>
          <w:szCs w:val="21"/>
        </w:rPr>
        <w:t>食品方面，</w:t>
      </w:r>
      <w:r w:rsidR="004905C9" w:rsidRPr="00402887">
        <w:rPr>
          <w:rFonts w:cs="Arial" w:hint="eastAsia"/>
          <w:szCs w:val="21"/>
        </w:rPr>
        <w:t>本周猪肉</w:t>
      </w:r>
      <w:r w:rsidR="004905C9" w:rsidRPr="00414975">
        <w:rPr>
          <w:rFonts w:cs="Arial" w:hint="eastAsia"/>
          <w:szCs w:val="21"/>
        </w:rPr>
        <w:t>价格</w:t>
      </w:r>
      <w:r w:rsidR="004905C9">
        <w:rPr>
          <w:rFonts w:cs="Arial" w:hint="eastAsia"/>
          <w:szCs w:val="21"/>
        </w:rPr>
        <w:t>下降</w:t>
      </w:r>
      <w:r w:rsidR="004905C9">
        <w:rPr>
          <w:rFonts w:cs="Arial" w:hint="eastAsia"/>
          <w:szCs w:val="21"/>
        </w:rPr>
        <w:t>0</w:t>
      </w:r>
      <w:r w:rsidR="004905C9">
        <w:rPr>
          <w:rFonts w:cs="Arial"/>
          <w:szCs w:val="21"/>
        </w:rPr>
        <w:t>.89</w:t>
      </w:r>
      <w:r w:rsidR="004905C9" w:rsidRPr="00414975">
        <w:rPr>
          <w:rFonts w:cs="Arial" w:hint="eastAsia"/>
          <w:szCs w:val="21"/>
        </w:rPr>
        <w:t>%</w:t>
      </w:r>
      <w:r w:rsidR="004905C9">
        <w:rPr>
          <w:rFonts w:cs="Arial" w:hint="eastAsia"/>
          <w:szCs w:val="21"/>
        </w:rPr>
        <w:t>，</w:t>
      </w:r>
      <w:r w:rsidR="00134901">
        <w:rPr>
          <w:rFonts w:cs="Arial" w:hint="eastAsia"/>
          <w:szCs w:val="21"/>
        </w:rPr>
        <w:t>降幅有所收窄。</w:t>
      </w:r>
      <w:r w:rsidR="004905C9" w:rsidRPr="00557330">
        <w:rPr>
          <w:rFonts w:cs="Arial" w:hint="eastAsia"/>
          <w:szCs w:val="21"/>
        </w:rPr>
        <w:t>夏季为畜肉消费淡季，市场</w:t>
      </w:r>
      <w:r w:rsidR="00134901">
        <w:rPr>
          <w:rFonts w:cs="Arial" w:hint="eastAsia"/>
          <w:szCs w:val="21"/>
        </w:rPr>
        <w:t>上</w:t>
      </w:r>
      <w:r w:rsidR="004905C9" w:rsidRPr="00557330">
        <w:rPr>
          <w:rFonts w:cs="Arial" w:hint="eastAsia"/>
          <w:szCs w:val="21"/>
        </w:rPr>
        <w:t>猪肉供过于求，但</w:t>
      </w:r>
      <w:r w:rsidR="004905C9" w:rsidRPr="00557330">
        <w:rPr>
          <w:rFonts w:cs="Arial" w:hint="eastAsia"/>
          <w:szCs w:val="21"/>
        </w:rPr>
        <w:t>7</w:t>
      </w:r>
      <w:r w:rsidR="004905C9" w:rsidRPr="00557330">
        <w:rPr>
          <w:rFonts w:cs="Arial" w:hint="eastAsia"/>
          <w:szCs w:val="21"/>
        </w:rPr>
        <w:t>月以来，国家发展改革委联合相关部门三次启动中央储备猪肉收储，一定程度上抑制了猪肉价格下跌势头，使猪肉价格降幅放缓。</w:t>
      </w:r>
      <w:r w:rsidR="004905C9" w:rsidRPr="00414975">
        <w:rPr>
          <w:rFonts w:cs="Arial" w:hint="eastAsia"/>
          <w:szCs w:val="21"/>
        </w:rPr>
        <w:t>牛肉</w:t>
      </w:r>
      <w:r w:rsidR="004905C9">
        <w:rPr>
          <w:rFonts w:cs="Arial" w:hint="eastAsia"/>
          <w:szCs w:val="21"/>
        </w:rPr>
        <w:t>、羊肉</w:t>
      </w:r>
      <w:r w:rsidR="004905C9" w:rsidRPr="00414975">
        <w:rPr>
          <w:rFonts w:cs="Arial" w:hint="eastAsia"/>
          <w:szCs w:val="21"/>
        </w:rPr>
        <w:t>价格</w:t>
      </w:r>
      <w:r w:rsidR="004905C9">
        <w:rPr>
          <w:rFonts w:cs="Arial" w:hint="eastAsia"/>
          <w:szCs w:val="21"/>
        </w:rPr>
        <w:t>下降</w:t>
      </w:r>
      <w:r w:rsidR="004905C9">
        <w:rPr>
          <w:rFonts w:cs="Arial"/>
          <w:szCs w:val="21"/>
        </w:rPr>
        <w:t>1.05</w:t>
      </w:r>
      <w:r w:rsidR="004905C9" w:rsidRPr="00414975">
        <w:rPr>
          <w:rFonts w:cs="Arial"/>
          <w:szCs w:val="21"/>
        </w:rPr>
        <w:t>%</w:t>
      </w:r>
      <w:r w:rsidR="004905C9">
        <w:rPr>
          <w:rFonts w:cs="Arial" w:hint="eastAsia"/>
          <w:szCs w:val="21"/>
        </w:rPr>
        <w:t>、</w:t>
      </w:r>
      <w:r w:rsidR="004905C9">
        <w:rPr>
          <w:rFonts w:cs="Arial"/>
          <w:szCs w:val="21"/>
        </w:rPr>
        <w:t>1.34%</w:t>
      </w:r>
      <w:r w:rsidR="004905C9">
        <w:rPr>
          <w:rFonts w:cs="Arial" w:hint="eastAsia"/>
          <w:szCs w:val="21"/>
        </w:rPr>
        <w:t>，</w:t>
      </w:r>
      <w:r w:rsidR="00134901">
        <w:rPr>
          <w:rFonts w:cs="Arial" w:hint="eastAsia"/>
          <w:szCs w:val="21"/>
        </w:rPr>
        <w:t>一方面</w:t>
      </w:r>
      <w:r w:rsidR="004905C9">
        <w:rPr>
          <w:rFonts w:cs="Arial" w:hint="eastAsia"/>
          <w:szCs w:val="21"/>
        </w:rPr>
        <w:t>是受季节性影响</w:t>
      </w:r>
      <w:r w:rsidR="00134901">
        <w:rPr>
          <w:rFonts w:cs="Arial" w:hint="eastAsia"/>
          <w:szCs w:val="21"/>
        </w:rPr>
        <w:t>，另一方面</w:t>
      </w:r>
      <w:r w:rsidR="004905C9">
        <w:rPr>
          <w:rFonts w:cs="Arial" w:hint="eastAsia"/>
          <w:szCs w:val="21"/>
        </w:rPr>
        <w:t>进口牛羊肉数量不断上升，进口价格相对较低。白条鸡价格上涨</w:t>
      </w:r>
      <w:r w:rsidR="004905C9">
        <w:rPr>
          <w:rFonts w:cs="Arial" w:hint="eastAsia"/>
          <w:szCs w:val="21"/>
        </w:rPr>
        <w:t>0</w:t>
      </w:r>
      <w:r w:rsidR="004905C9">
        <w:rPr>
          <w:rFonts w:cs="Arial"/>
          <w:szCs w:val="21"/>
        </w:rPr>
        <w:t>.12</w:t>
      </w:r>
      <w:r w:rsidR="004905C9" w:rsidRPr="00414975">
        <w:rPr>
          <w:rFonts w:cs="Arial"/>
          <w:szCs w:val="21"/>
        </w:rPr>
        <w:t>%</w:t>
      </w:r>
      <w:r w:rsidR="004905C9" w:rsidRPr="00414975">
        <w:rPr>
          <w:rFonts w:cs="Arial" w:hint="eastAsia"/>
          <w:szCs w:val="21"/>
        </w:rPr>
        <w:t>。鸡蛋价格本周环比</w:t>
      </w:r>
      <w:r w:rsidR="004905C9">
        <w:rPr>
          <w:rFonts w:cs="Arial" w:hint="eastAsia"/>
          <w:szCs w:val="21"/>
        </w:rPr>
        <w:t>下降</w:t>
      </w:r>
      <w:r w:rsidR="004905C9">
        <w:rPr>
          <w:rFonts w:cs="Arial"/>
          <w:szCs w:val="21"/>
        </w:rPr>
        <w:t>2.79</w:t>
      </w:r>
      <w:r w:rsidR="004905C9" w:rsidRPr="00414975">
        <w:rPr>
          <w:rFonts w:cs="Arial"/>
          <w:szCs w:val="21"/>
        </w:rPr>
        <w:t>%</w:t>
      </w:r>
      <w:r w:rsidR="004905C9" w:rsidRPr="0055292E">
        <w:rPr>
          <w:rFonts w:cs="Arial" w:hint="eastAsia"/>
          <w:szCs w:val="21"/>
        </w:rPr>
        <w:t>，主要受</w:t>
      </w:r>
      <w:r w:rsidR="003C66A8">
        <w:rPr>
          <w:rFonts w:cs="Arial" w:hint="eastAsia"/>
          <w:szCs w:val="21"/>
        </w:rPr>
        <w:t>食品企业前期备货完成，</w:t>
      </w:r>
      <w:r w:rsidR="004905C9" w:rsidRPr="0055292E">
        <w:rPr>
          <w:rFonts w:cs="Arial" w:hint="eastAsia"/>
          <w:szCs w:val="21"/>
        </w:rPr>
        <w:t>需求减少</w:t>
      </w:r>
      <w:r w:rsidR="007851A6">
        <w:rPr>
          <w:rFonts w:cs="Arial" w:hint="eastAsia"/>
          <w:szCs w:val="21"/>
        </w:rPr>
        <w:t>的</w:t>
      </w:r>
      <w:r w:rsidR="004905C9" w:rsidRPr="0055292E">
        <w:rPr>
          <w:rFonts w:cs="Arial" w:hint="eastAsia"/>
          <w:szCs w:val="21"/>
        </w:rPr>
        <w:t>影响。</w:t>
      </w:r>
      <w:r w:rsidR="004905C9" w:rsidRPr="00414975">
        <w:rPr>
          <w:rFonts w:cs="Arial" w:hint="eastAsia"/>
          <w:szCs w:val="21"/>
        </w:rPr>
        <w:t>蔬菜价格较上周环比</w:t>
      </w:r>
      <w:r w:rsidR="004905C9">
        <w:rPr>
          <w:rFonts w:cs="Arial" w:hint="eastAsia"/>
          <w:szCs w:val="21"/>
        </w:rPr>
        <w:t>下降</w:t>
      </w:r>
      <w:r w:rsidR="004905C9">
        <w:rPr>
          <w:rFonts w:cs="Arial"/>
          <w:szCs w:val="21"/>
        </w:rPr>
        <w:t>2.15</w:t>
      </w:r>
      <w:r w:rsidR="004905C9" w:rsidRPr="00414975">
        <w:rPr>
          <w:rFonts w:cs="Arial" w:hint="eastAsia"/>
          <w:szCs w:val="21"/>
        </w:rPr>
        <w:t>%</w:t>
      </w:r>
      <w:r w:rsidR="004905C9">
        <w:rPr>
          <w:rFonts w:cs="Arial" w:hint="eastAsia"/>
          <w:szCs w:val="21"/>
        </w:rPr>
        <w:t>，主要由于</w:t>
      </w:r>
      <w:r w:rsidR="004905C9" w:rsidRPr="009D1F9B">
        <w:rPr>
          <w:rFonts w:cs="Arial" w:hint="eastAsia"/>
          <w:szCs w:val="21"/>
        </w:rPr>
        <w:t>高温高湿天气逐渐退去，</w:t>
      </w:r>
      <w:r w:rsidR="007A400C">
        <w:rPr>
          <w:rFonts w:cs="Arial" w:hint="eastAsia"/>
          <w:szCs w:val="21"/>
        </w:rPr>
        <w:t>对菜价的影响减弱</w:t>
      </w:r>
      <w:r w:rsidR="004905C9" w:rsidRPr="009D1F9B">
        <w:rPr>
          <w:rFonts w:cs="Arial" w:hint="eastAsia"/>
          <w:szCs w:val="21"/>
        </w:rPr>
        <w:t>。</w:t>
      </w:r>
      <w:r w:rsidR="004905C9">
        <w:rPr>
          <w:rFonts w:cs="Arial" w:hint="eastAsia"/>
          <w:szCs w:val="21"/>
        </w:rPr>
        <w:t>水果价格下跌</w:t>
      </w:r>
      <w:r w:rsidR="004905C9">
        <w:rPr>
          <w:rFonts w:cs="Arial"/>
          <w:szCs w:val="21"/>
        </w:rPr>
        <w:t>2.64</w:t>
      </w:r>
      <w:r w:rsidR="004905C9">
        <w:rPr>
          <w:rFonts w:cs="Arial" w:hint="eastAsia"/>
          <w:szCs w:val="21"/>
        </w:rPr>
        <w:t>%</w:t>
      </w:r>
      <w:r w:rsidR="004905C9">
        <w:rPr>
          <w:rFonts w:cs="Arial" w:hint="eastAsia"/>
          <w:szCs w:val="21"/>
        </w:rPr>
        <w:t>。</w:t>
      </w:r>
    </w:p>
    <w:p w14:paraId="4116F533" w14:textId="77777777" w:rsidR="004905C9" w:rsidRPr="00FB7002" w:rsidRDefault="004905C9" w:rsidP="00247D79">
      <w:pPr>
        <w:ind w:left="3681"/>
        <w:rPr>
          <w:rFonts w:cs="Arial"/>
          <w:szCs w:val="21"/>
        </w:rPr>
      </w:pPr>
    </w:p>
    <w:p w14:paraId="28C9787A" w14:textId="2172F405" w:rsidR="004905C9" w:rsidRDefault="004905C9" w:rsidP="007A400C">
      <w:pPr>
        <w:ind w:left="3681"/>
        <w:rPr>
          <w:rFonts w:cs="Arial"/>
          <w:szCs w:val="21"/>
        </w:rPr>
      </w:pPr>
      <w:r w:rsidRPr="00414975">
        <w:rPr>
          <w:rFonts w:cs="Arial"/>
          <w:b/>
          <w:bCs/>
          <w:szCs w:val="21"/>
        </w:rPr>
        <w:t>工业品方面</w:t>
      </w:r>
      <w:r w:rsidRPr="00414975">
        <w:rPr>
          <w:rFonts w:cs="Arial"/>
          <w:szCs w:val="21"/>
        </w:rPr>
        <w:t>，</w:t>
      </w:r>
      <w:r w:rsidRPr="00414975">
        <w:rPr>
          <w:rFonts w:cs="Arial" w:hint="eastAsia"/>
          <w:szCs w:val="21"/>
        </w:rPr>
        <w:t>原油价格</w:t>
      </w:r>
      <w:r>
        <w:rPr>
          <w:rFonts w:cs="Arial" w:hint="eastAsia"/>
          <w:szCs w:val="21"/>
        </w:rPr>
        <w:t>下跌</w:t>
      </w:r>
      <w:r w:rsidRPr="00414975">
        <w:rPr>
          <w:rFonts w:cs="Arial" w:hint="eastAsia"/>
          <w:szCs w:val="21"/>
        </w:rPr>
        <w:t>，布伦特原油和</w:t>
      </w:r>
      <w:r w:rsidRPr="00414975">
        <w:rPr>
          <w:rFonts w:cs="Arial" w:hint="eastAsia"/>
          <w:szCs w:val="21"/>
        </w:rPr>
        <w:t>W</w:t>
      </w:r>
      <w:r w:rsidRPr="00414975">
        <w:rPr>
          <w:rFonts w:cs="Arial"/>
          <w:szCs w:val="21"/>
        </w:rPr>
        <w:t>TI</w:t>
      </w:r>
      <w:r w:rsidRPr="00414975">
        <w:rPr>
          <w:rFonts w:cs="Arial" w:hint="eastAsia"/>
          <w:szCs w:val="21"/>
        </w:rPr>
        <w:t>原油分别</w:t>
      </w:r>
      <w:r>
        <w:rPr>
          <w:rFonts w:cs="Arial" w:hint="eastAsia"/>
          <w:szCs w:val="21"/>
        </w:rPr>
        <w:t>下跌</w:t>
      </w:r>
      <w:r>
        <w:rPr>
          <w:rFonts w:cs="Arial"/>
          <w:szCs w:val="21"/>
        </w:rPr>
        <w:t>7.66</w:t>
      </w:r>
      <w:r>
        <w:rPr>
          <w:rFonts w:cs="Arial" w:hint="eastAsia"/>
          <w:szCs w:val="21"/>
        </w:rPr>
        <w:t>%</w:t>
      </w:r>
      <w:r w:rsidRPr="00414975">
        <w:rPr>
          <w:rFonts w:cs="Arial" w:hint="eastAsia"/>
          <w:szCs w:val="21"/>
        </w:rPr>
        <w:t>和</w:t>
      </w:r>
      <w:r>
        <w:rPr>
          <w:rFonts w:cs="Arial"/>
          <w:szCs w:val="21"/>
        </w:rPr>
        <w:t>9.21</w:t>
      </w:r>
      <w:r>
        <w:rPr>
          <w:rFonts w:cs="Arial" w:hint="eastAsia"/>
          <w:szCs w:val="21"/>
        </w:rPr>
        <w:t>%</w:t>
      </w:r>
      <w:r>
        <w:rPr>
          <w:rFonts w:cs="Arial" w:hint="eastAsia"/>
          <w:szCs w:val="21"/>
        </w:rPr>
        <w:t>，主要因为</w:t>
      </w:r>
      <w:r>
        <w:rPr>
          <w:rFonts w:cs="Arial" w:hint="eastAsia"/>
          <w:color w:val="333333"/>
          <w:shd w:val="clear" w:color="auto" w:fill="FFFFFF"/>
        </w:rPr>
        <w:t>Delta</w:t>
      </w:r>
      <w:r>
        <w:rPr>
          <w:rFonts w:cs="Arial" w:hint="eastAsia"/>
          <w:color w:val="333333"/>
          <w:shd w:val="clear" w:color="auto" w:fill="FFFFFF"/>
        </w:rPr>
        <w:t>病毒蔓延</w:t>
      </w:r>
      <w:r>
        <w:rPr>
          <w:rFonts w:cs="Arial"/>
          <w:color w:val="333333"/>
          <w:shd w:val="clear" w:color="auto" w:fill="FFFFFF"/>
        </w:rPr>
        <w:t>引发</w:t>
      </w:r>
      <w:r>
        <w:rPr>
          <w:rFonts w:cs="Arial" w:hint="eastAsia"/>
          <w:color w:val="333333"/>
          <w:shd w:val="clear" w:color="auto" w:fill="FFFFFF"/>
        </w:rPr>
        <w:t>的</w:t>
      </w:r>
      <w:r>
        <w:rPr>
          <w:rFonts w:cs="Arial"/>
          <w:color w:val="333333"/>
          <w:shd w:val="clear" w:color="auto" w:fill="FFFFFF"/>
        </w:rPr>
        <w:t>市场担忧</w:t>
      </w:r>
      <w:r>
        <w:rPr>
          <w:rFonts w:cs="Arial" w:hint="eastAsia"/>
          <w:color w:val="333333"/>
          <w:shd w:val="clear" w:color="auto" w:fill="FFFFFF"/>
        </w:rPr>
        <w:t>仍在持续</w:t>
      </w:r>
      <w:r>
        <w:rPr>
          <w:rFonts w:cs="Arial" w:hint="eastAsia"/>
          <w:szCs w:val="21"/>
        </w:rPr>
        <w:t>。</w:t>
      </w:r>
      <w:r w:rsidRPr="00414975">
        <w:rPr>
          <w:rFonts w:cs="Arial" w:hint="eastAsia"/>
          <w:szCs w:val="21"/>
        </w:rPr>
        <w:t>L</w:t>
      </w:r>
      <w:r w:rsidRPr="00414975">
        <w:rPr>
          <w:rFonts w:cs="Arial"/>
          <w:szCs w:val="21"/>
        </w:rPr>
        <w:t>ME</w:t>
      </w:r>
      <w:r w:rsidRPr="00414975">
        <w:rPr>
          <w:rFonts w:cs="Arial"/>
          <w:szCs w:val="21"/>
        </w:rPr>
        <w:t>铜</w:t>
      </w:r>
      <w:r>
        <w:rPr>
          <w:rFonts w:cs="Arial" w:hint="eastAsia"/>
          <w:szCs w:val="21"/>
        </w:rPr>
        <w:t>和铝</w:t>
      </w:r>
      <w:r w:rsidRPr="00414975">
        <w:rPr>
          <w:rFonts w:cs="Arial" w:hint="eastAsia"/>
          <w:szCs w:val="21"/>
        </w:rPr>
        <w:t>价格</w:t>
      </w:r>
      <w:r>
        <w:rPr>
          <w:rFonts w:cs="Arial" w:hint="eastAsia"/>
          <w:szCs w:val="21"/>
        </w:rPr>
        <w:t>大幅走弱</w:t>
      </w:r>
      <w:r w:rsidRPr="00414975">
        <w:rPr>
          <w:rFonts w:cs="Arial" w:hint="eastAsia"/>
          <w:szCs w:val="21"/>
        </w:rPr>
        <w:t>，较上周</w:t>
      </w:r>
      <w:r>
        <w:rPr>
          <w:rFonts w:cs="Arial" w:hint="eastAsia"/>
          <w:szCs w:val="21"/>
        </w:rPr>
        <w:t>分别</w:t>
      </w:r>
      <w:r w:rsidRPr="00414975">
        <w:rPr>
          <w:rFonts w:cs="Arial" w:hint="eastAsia"/>
          <w:szCs w:val="21"/>
        </w:rPr>
        <w:t>环比</w:t>
      </w:r>
      <w:r>
        <w:rPr>
          <w:rFonts w:cs="Arial" w:hint="eastAsia"/>
          <w:szCs w:val="21"/>
        </w:rPr>
        <w:t>下跌</w:t>
      </w:r>
      <w:r>
        <w:rPr>
          <w:rFonts w:cs="Arial"/>
          <w:szCs w:val="21"/>
        </w:rPr>
        <w:t>4.92</w:t>
      </w:r>
      <w:r w:rsidRPr="00414975">
        <w:rPr>
          <w:rFonts w:cs="Arial" w:hint="eastAsia"/>
          <w:szCs w:val="21"/>
        </w:rPr>
        <w:t>%</w:t>
      </w:r>
      <w:r>
        <w:rPr>
          <w:rFonts w:cs="Arial" w:hint="eastAsia"/>
          <w:szCs w:val="21"/>
        </w:rPr>
        <w:t>和</w:t>
      </w:r>
      <w:r>
        <w:rPr>
          <w:rFonts w:cs="Arial"/>
          <w:szCs w:val="21"/>
        </w:rPr>
        <w:t>2.14</w:t>
      </w:r>
      <w:r>
        <w:rPr>
          <w:rFonts w:cs="Arial" w:hint="eastAsia"/>
          <w:szCs w:val="21"/>
        </w:rPr>
        <w:t>%</w:t>
      </w:r>
      <w:r>
        <w:rPr>
          <w:rFonts w:cs="Arial" w:hint="eastAsia"/>
          <w:szCs w:val="21"/>
        </w:rPr>
        <w:t>。</w:t>
      </w:r>
      <w:r w:rsidR="007A400C">
        <w:rPr>
          <w:rFonts w:cs="Arial" w:hint="eastAsia"/>
          <w:szCs w:val="21"/>
        </w:rPr>
        <w:t>一方面，</w:t>
      </w:r>
      <w:r w:rsidRPr="00597744">
        <w:rPr>
          <w:rFonts w:cs="Arial" w:hint="eastAsia"/>
          <w:szCs w:val="21"/>
        </w:rPr>
        <w:t>美联储</w:t>
      </w:r>
      <w:r w:rsidR="007A400C">
        <w:rPr>
          <w:rFonts w:cs="Arial" w:hint="eastAsia"/>
          <w:szCs w:val="21"/>
        </w:rPr>
        <w:t>议息</w:t>
      </w:r>
      <w:r w:rsidRPr="00597744">
        <w:rPr>
          <w:rFonts w:cs="Arial" w:hint="eastAsia"/>
          <w:szCs w:val="21"/>
        </w:rPr>
        <w:t>会议纪要</w:t>
      </w:r>
      <w:r w:rsidR="007A400C">
        <w:rPr>
          <w:rFonts w:cs="Arial" w:hint="eastAsia"/>
          <w:szCs w:val="21"/>
        </w:rPr>
        <w:t>偏鹰，市场流动性预期收紧；另一方面，</w:t>
      </w:r>
      <w:r w:rsidR="007A400C">
        <w:rPr>
          <w:rFonts w:cs="Arial" w:hint="eastAsia"/>
          <w:color w:val="333333"/>
          <w:shd w:val="clear" w:color="auto" w:fill="FFFFFF"/>
        </w:rPr>
        <w:t>Delta</w:t>
      </w:r>
      <w:r w:rsidR="007A400C">
        <w:rPr>
          <w:rFonts w:cs="Arial" w:hint="eastAsia"/>
          <w:color w:val="333333"/>
          <w:shd w:val="clear" w:color="auto" w:fill="FFFFFF"/>
        </w:rPr>
        <w:t>病毒拖累美国经济复苏进程，</w:t>
      </w:r>
      <w:r>
        <w:rPr>
          <w:rFonts w:cs="Arial" w:hint="eastAsia"/>
          <w:szCs w:val="21"/>
        </w:rPr>
        <w:t>高盛</w:t>
      </w:r>
      <w:r w:rsidR="007851A6">
        <w:rPr>
          <w:rFonts w:cs="Arial"/>
          <w:szCs w:val="21"/>
        </w:rPr>
        <w:t>3</w:t>
      </w:r>
      <w:r w:rsidRPr="00755D00">
        <w:rPr>
          <w:rFonts w:cs="Arial" w:hint="eastAsia"/>
          <w:szCs w:val="21"/>
        </w:rPr>
        <w:t>周内</w:t>
      </w:r>
      <w:r w:rsidR="007851A6">
        <w:rPr>
          <w:rFonts w:cs="Arial" w:hint="eastAsia"/>
          <w:szCs w:val="21"/>
        </w:rPr>
        <w:t>2</w:t>
      </w:r>
      <w:r w:rsidRPr="00755D00">
        <w:rPr>
          <w:rFonts w:cs="Arial" w:hint="eastAsia"/>
          <w:szCs w:val="21"/>
        </w:rPr>
        <w:t>次下调</w:t>
      </w:r>
      <w:r>
        <w:rPr>
          <w:rFonts w:cs="Arial" w:hint="eastAsia"/>
          <w:szCs w:val="21"/>
        </w:rPr>
        <w:t>美国</w:t>
      </w:r>
      <w:r w:rsidRPr="00755D00">
        <w:rPr>
          <w:rFonts w:cs="Arial" w:hint="eastAsia"/>
          <w:szCs w:val="21"/>
        </w:rPr>
        <w:t>GDP</w:t>
      </w:r>
      <w:r w:rsidRPr="00755D00">
        <w:rPr>
          <w:rFonts w:cs="Arial" w:hint="eastAsia"/>
          <w:szCs w:val="21"/>
        </w:rPr>
        <w:t>增速预期</w:t>
      </w:r>
      <w:r w:rsidR="007A400C">
        <w:rPr>
          <w:rFonts w:cs="Arial" w:hint="eastAsia"/>
          <w:szCs w:val="21"/>
        </w:rPr>
        <w:t>。</w:t>
      </w:r>
      <w:r w:rsidRPr="00597744">
        <w:rPr>
          <w:rFonts w:cs="Arial" w:hint="eastAsia"/>
          <w:szCs w:val="21"/>
        </w:rPr>
        <w:t>大宗商品</w:t>
      </w:r>
      <w:r>
        <w:rPr>
          <w:rFonts w:cs="Arial" w:hint="eastAsia"/>
          <w:szCs w:val="21"/>
        </w:rPr>
        <w:t>几乎</w:t>
      </w:r>
      <w:r w:rsidRPr="00597744">
        <w:rPr>
          <w:rFonts w:cs="Arial" w:hint="eastAsia"/>
          <w:szCs w:val="21"/>
        </w:rPr>
        <w:t>全线下挫</w:t>
      </w:r>
      <w:r w:rsidR="007A400C">
        <w:rPr>
          <w:rFonts w:cs="Arial" w:hint="eastAsia"/>
          <w:szCs w:val="21"/>
        </w:rPr>
        <w:t>，</w:t>
      </w:r>
      <w:r w:rsidRPr="00414975">
        <w:rPr>
          <w:rFonts w:cs="Arial" w:hint="eastAsia"/>
          <w:szCs w:val="21"/>
        </w:rPr>
        <w:t>C</w:t>
      </w:r>
      <w:r w:rsidRPr="00414975">
        <w:rPr>
          <w:rFonts w:cs="Arial"/>
          <w:szCs w:val="21"/>
        </w:rPr>
        <w:t>RB</w:t>
      </w:r>
      <w:r w:rsidRPr="00414975">
        <w:rPr>
          <w:rFonts w:cs="Arial" w:hint="eastAsia"/>
          <w:szCs w:val="21"/>
        </w:rPr>
        <w:t>现货指数</w:t>
      </w:r>
      <w:r>
        <w:rPr>
          <w:rFonts w:cs="Arial" w:hint="eastAsia"/>
          <w:szCs w:val="21"/>
        </w:rPr>
        <w:t>下跌</w:t>
      </w:r>
      <w:r>
        <w:rPr>
          <w:rFonts w:cs="Arial" w:hint="eastAsia"/>
          <w:szCs w:val="21"/>
        </w:rPr>
        <w:t>0</w:t>
      </w:r>
      <w:r>
        <w:rPr>
          <w:rFonts w:cs="Arial"/>
          <w:szCs w:val="21"/>
        </w:rPr>
        <w:t>.32</w:t>
      </w:r>
      <w:r>
        <w:rPr>
          <w:rFonts w:cs="Arial" w:hint="eastAsia"/>
          <w:szCs w:val="21"/>
        </w:rPr>
        <w:t>%</w:t>
      </w:r>
      <w:r w:rsidRPr="00414975">
        <w:rPr>
          <w:rFonts w:cs="Arial" w:hint="eastAsia"/>
          <w:szCs w:val="21"/>
        </w:rPr>
        <w:t>。</w:t>
      </w:r>
      <w:r w:rsidRPr="00414975">
        <w:rPr>
          <w:rFonts w:cs="Arial"/>
          <w:szCs w:val="21"/>
        </w:rPr>
        <w:t>国内方面</w:t>
      </w:r>
      <w:r w:rsidRPr="00414975">
        <w:rPr>
          <w:rFonts w:cs="Arial" w:hint="eastAsia"/>
          <w:szCs w:val="21"/>
        </w:rPr>
        <w:t>，</w:t>
      </w:r>
      <w:proofErr w:type="spellStart"/>
      <w:r w:rsidRPr="00414975">
        <w:rPr>
          <w:rFonts w:cs="Arial"/>
          <w:szCs w:val="21"/>
        </w:rPr>
        <w:t>Myspic</w:t>
      </w:r>
      <w:proofErr w:type="spellEnd"/>
      <w:r w:rsidRPr="00414975">
        <w:rPr>
          <w:rFonts w:cs="Arial"/>
          <w:szCs w:val="21"/>
        </w:rPr>
        <w:t>综合钢价指数环比</w:t>
      </w:r>
      <w:r>
        <w:rPr>
          <w:rFonts w:cs="Arial" w:hint="eastAsia"/>
          <w:szCs w:val="21"/>
        </w:rPr>
        <w:t>下跌</w:t>
      </w:r>
      <w:r>
        <w:rPr>
          <w:rFonts w:cs="Arial" w:hint="eastAsia"/>
          <w:szCs w:val="21"/>
        </w:rPr>
        <w:t>1</w:t>
      </w:r>
      <w:r>
        <w:rPr>
          <w:rFonts w:cs="Arial"/>
          <w:szCs w:val="21"/>
        </w:rPr>
        <w:t>.68</w:t>
      </w:r>
      <w:r w:rsidRPr="00414975">
        <w:rPr>
          <w:rFonts w:cs="Arial"/>
          <w:szCs w:val="21"/>
        </w:rPr>
        <w:t>%</w:t>
      </w:r>
      <w:r w:rsidRPr="00414975">
        <w:rPr>
          <w:rFonts w:cs="Arial"/>
          <w:szCs w:val="21"/>
        </w:rPr>
        <w:t>，南华工业品指数环</w:t>
      </w:r>
      <w:r w:rsidRPr="00414975">
        <w:rPr>
          <w:rFonts w:cs="Arial" w:hint="eastAsia"/>
          <w:szCs w:val="21"/>
        </w:rPr>
        <w:t>比</w:t>
      </w:r>
      <w:r>
        <w:rPr>
          <w:rFonts w:cs="Arial" w:hint="eastAsia"/>
          <w:szCs w:val="21"/>
        </w:rPr>
        <w:t>下跌</w:t>
      </w:r>
      <w:r>
        <w:rPr>
          <w:rFonts w:cs="Arial"/>
          <w:szCs w:val="21"/>
        </w:rPr>
        <w:t>3.48</w:t>
      </w:r>
      <w:r w:rsidRPr="00414975">
        <w:rPr>
          <w:rFonts w:cs="Arial"/>
          <w:szCs w:val="21"/>
        </w:rPr>
        <w:t>%</w:t>
      </w:r>
      <w:r w:rsidRPr="00414975">
        <w:rPr>
          <w:rFonts w:cs="Arial"/>
          <w:szCs w:val="21"/>
        </w:rPr>
        <w:t>。</w:t>
      </w:r>
      <w:r w:rsidRPr="00C14363">
        <w:rPr>
          <w:rFonts w:cs="Arial"/>
          <w:szCs w:val="21"/>
        </w:rPr>
        <w:t>长江有</w:t>
      </w:r>
      <w:r w:rsidRPr="00C14363">
        <w:rPr>
          <w:rFonts w:cs="Arial"/>
          <w:szCs w:val="21"/>
        </w:rPr>
        <w:lastRenderedPageBreak/>
        <w:t>色市场铜价</w:t>
      </w:r>
      <w:r>
        <w:rPr>
          <w:rFonts w:cs="Arial" w:hint="eastAsia"/>
          <w:szCs w:val="21"/>
        </w:rPr>
        <w:t>由涨转跌</w:t>
      </w:r>
      <w:r w:rsidRPr="00C14363">
        <w:rPr>
          <w:rFonts w:cs="Arial" w:hint="eastAsia"/>
          <w:szCs w:val="21"/>
        </w:rPr>
        <w:t>，</w:t>
      </w:r>
      <w:r>
        <w:rPr>
          <w:rFonts w:cs="Arial" w:hint="eastAsia"/>
          <w:szCs w:val="21"/>
        </w:rPr>
        <w:t>下跌</w:t>
      </w:r>
      <w:r>
        <w:rPr>
          <w:rFonts w:cs="Arial"/>
          <w:szCs w:val="21"/>
        </w:rPr>
        <w:t>4.22</w:t>
      </w:r>
      <w:r w:rsidRPr="00C14363">
        <w:rPr>
          <w:rFonts w:cs="Arial" w:hint="eastAsia"/>
          <w:szCs w:val="21"/>
        </w:rPr>
        <w:t>%</w:t>
      </w:r>
      <w:r>
        <w:rPr>
          <w:rFonts w:cs="Arial" w:hint="eastAsia"/>
          <w:szCs w:val="21"/>
        </w:rPr>
        <w:t>。</w:t>
      </w:r>
      <w:r w:rsidRPr="00C14363">
        <w:rPr>
          <w:rFonts w:cs="Arial"/>
          <w:szCs w:val="21"/>
        </w:rPr>
        <w:t>长江有色市场铝价</w:t>
      </w:r>
      <w:r>
        <w:rPr>
          <w:rFonts w:cs="Arial" w:hint="eastAsia"/>
          <w:szCs w:val="21"/>
        </w:rPr>
        <w:t>延续上涨态势，本周上涨</w:t>
      </w:r>
      <w:r>
        <w:rPr>
          <w:rFonts w:cs="Arial" w:hint="eastAsia"/>
          <w:szCs w:val="21"/>
        </w:rPr>
        <w:t>0</w:t>
      </w:r>
      <w:r>
        <w:rPr>
          <w:rFonts w:cs="Arial"/>
          <w:szCs w:val="21"/>
        </w:rPr>
        <w:t>.30</w:t>
      </w:r>
      <w:r w:rsidRPr="00C14363">
        <w:rPr>
          <w:rFonts w:cs="Arial" w:hint="eastAsia"/>
          <w:szCs w:val="21"/>
        </w:rPr>
        <w:t>%</w:t>
      </w:r>
      <w:r w:rsidRPr="00C14363">
        <w:rPr>
          <w:rFonts w:cs="Arial"/>
          <w:szCs w:val="21"/>
        </w:rPr>
        <w:t>。螺纹钢</w:t>
      </w:r>
      <w:r w:rsidRPr="00C14363">
        <w:rPr>
          <w:rFonts w:cs="Arial" w:hint="eastAsia"/>
          <w:szCs w:val="21"/>
        </w:rPr>
        <w:t>价格环比</w:t>
      </w:r>
      <w:r>
        <w:rPr>
          <w:rFonts w:cs="Arial" w:hint="eastAsia"/>
          <w:szCs w:val="21"/>
        </w:rPr>
        <w:t>下跌</w:t>
      </w:r>
      <w:r>
        <w:rPr>
          <w:rFonts w:cs="Arial" w:hint="eastAsia"/>
          <w:szCs w:val="21"/>
        </w:rPr>
        <w:t>2</w:t>
      </w:r>
      <w:r>
        <w:rPr>
          <w:rFonts w:cs="Arial"/>
          <w:szCs w:val="21"/>
        </w:rPr>
        <w:t>.29</w:t>
      </w:r>
      <w:r w:rsidRPr="00C14363">
        <w:rPr>
          <w:rFonts w:cs="Arial" w:hint="eastAsia"/>
          <w:szCs w:val="21"/>
        </w:rPr>
        <w:t>%</w:t>
      </w:r>
      <w:r w:rsidRPr="00C14363">
        <w:rPr>
          <w:rFonts w:cs="Arial" w:hint="eastAsia"/>
          <w:szCs w:val="21"/>
        </w:rPr>
        <w:t>，</w:t>
      </w:r>
      <w:r w:rsidRPr="001104FC">
        <w:rPr>
          <w:rFonts w:cs="Arial"/>
          <w:szCs w:val="21"/>
        </w:rPr>
        <w:t>水泥价格指数</w:t>
      </w:r>
      <w:r>
        <w:rPr>
          <w:rFonts w:cs="Arial" w:hint="eastAsia"/>
          <w:szCs w:val="21"/>
        </w:rPr>
        <w:t>环比继续上涨</w:t>
      </w:r>
      <w:r>
        <w:rPr>
          <w:rFonts w:cs="Arial" w:hint="eastAsia"/>
          <w:szCs w:val="21"/>
        </w:rPr>
        <w:t>1</w:t>
      </w:r>
      <w:r>
        <w:rPr>
          <w:rFonts w:cs="Arial"/>
          <w:szCs w:val="21"/>
        </w:rPr>
        <w:t>.59</w:t>
      </w:r>
      <w:r w:rsidRPr="001104FC">
        <w:rPr>
          <w:rFonts w:cs="Arial"/>
          <w:szCs w:val="21"/>
        </w:rPr>
        <w:t>%</w:t>
      </w:r>
      <w:r>
        <w:rPr>
          <w:rFonts w:cs="Arial" w:hint="eastAsia"/>
          <w:szCs w:val="21"/>
        </w:rPr>
        <w:t>，</w:t>
      </w:r>
      <w:r w:rsidR="007851A6">
        <w:rPr>
          <w:rFonts w:cs="Arial" w:hint="eastAsia"/>
          <w:szCs w:val="21"/>
        </w:rPr>
        <w:t>主要由于</w:t>
      </w:r>
      <w:r w:rsidRPr="00755D00">
        <w:rPr>
          <w:rFonts w:cs="Arial" w:hint="eastAsia"/>
          <w:szCs w:val="21"/>
        </w:rPr>
        <w:t>近期水泥行业错峰生产的力度有所加大，</w:t>
      </w:r>
      <w:r w:rsidR="007A400C">
        <w:rPr>
          <w:rFonts w:cs="Arial" w:hint="eastAsia"/>
          <w:szCs w:val="21"/>
        </w:rPr>
        <w:t>带动</w:t>
      </w:r>
      <w:r w:rsidRPr="00755D00">
        <w:rPr>
          <w:rFonts w:cs="Arial" w:hint="eastAsia"/>
          <w:szCs w:val="21"/>
        </w:rPr>
        <w:t>市场回暖</w:t>
      </w:r>
      <w:r w:rsidRPr="001104FC">
        <w:rPr>
          <w:rFonts w:cs="Arial"/>
          <w:szCs w:val="21"/>
        </w:rPr>
        <w:t>。</w:t>
      </w:r>
      <w:r w:rsidRPr="001104FC">
        <w:rPr>
          <w:rFonts w:cs="Arial" w:hint="eastAsia"/>
          <w:szCs w:val="21"/>
        </w:rPr>
        <w:t>铁矿石价格</w:t>
      </w:r>
      <w:r>
        <w:rPr>
          <w:rFonts w:cs="Arial" w:hint="eastAsia"/>
          <w:szCs w:val="21"/>
        </w:rPr>
        <w:t>指数继续</w:t>
      </w:r>
      <w:r w:rsidRPr="001104FC">
        <w:rPr>
          <w:rFonts w:cs="Arial" w:hint="eastAsia"/>
          <w:szCs w:val="21"/>
        </w:rPr>
        <w:t>走低，国产矿和进口矿分别下降</w:t>
      </w:r>
      <w:r>
        <w:rPr>
          <w:rFonts w:cs="Arial"/>
          <w:szCs w:val="21"/>
        </w:rPr>
        <w:t>2.92</w:t>
      </w:r>
      <w:r w:rsidRPr="001104FC">
        <w:rPr>
          <w:rFonts w:cs="Arial" w:hint="eastAsia"/>
          <w:szCs w:val="21"/>
        </w:rPr>
        <w:t>%</w:t>
      </w:r>
      <w:r w:rsidRPr="001104FC">
        <w:rPr>
          <w:rFonts w:cs="Arial" w:hint="eastAsia"/>
          <w:szCs w:val="21"/>
        </w:rPr>
        <w:t>和</w:t>
      </w:r>
      <w:r>
        <w:rPr>
          <w:rFonts w:cs="Arial"/>
          <w:szCs w:val="21"/>
        </w:rPr>
        <w:t>16.80</w:t>
      </w:r>
      <w:r w:rsidRPr="001104FC">
        <w:rPr>
          <w:rFonts w:cs="Arial" w:hint="eastAsia"/>
          <w:szCs w:val="21"/>
        </w:rPr>
        <w:t>%</w:t>
      </w:r>
      <w:r>
        <w:rPr>
          <w:rFonts w:cs="Arial" w:hint="eastAsia"/>
          <w:szCs w:val="21"/>
        </w:rPr>
        <w:t>，主要受到钢铁</w:t>
      </w:r>
      <w:r w:rsidRPr="00C275F4">
        <w:rPr>
          <w:rFonts w:cs="Arial" w:hint="eastAsia"/>
          <w:szCs w:val="21"/>
        </w:rPr>
        <w:t>减产、限产措施</w:t>
      </w:r>
      <w:r>
        <w:rPr>
          <w:rFonts w:cs="Arial" w:hint="eastAsia"/>
          <w:szCs w:val="21"/>
        </w:rPr>
        <w:t>的</w:t>
      </w:r>
      <w:r w:rsidRPr="00C275F4">
        <w:rPr>
          <w:rFonts w:cs="Arial" w:hint="eastAsia"/>
          <w:szCs w:val="21"/>
        </w:rPr>
        <w:t>影响</w:t>
      </w:r>
      <w:r w:rsidRPr="001104FC">
        <w:rPr>
          <w:rFonts w:cs="Arial" w:hint="eastAsia"/>
          <w:szCs w:val="21"/>
        </w:rPr>
        <w:t>。</w:t>
      </w:r>
    </w:p>
    <w:p w14:paraId="5208253A" w14:textId="77777777" w:rsidR="007851A6" w:rsidRPr="00B104FA" w:rsidRDefault="007851A6" w:rsidP="007A400C">
      <w:pPr>
        <w:ind w:left="3681"/>
        <w:rPr>
          <w:rFonts w:cs="Arial"/>
          <w:szCs w:val="21"/>
        </w:rPr>
      </w:pPr>
    </w:p>
    <w:tbl>
      <w:tblPr>
        <w:tblStyle w:val="af"/>
        <w:tblW w:w="10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20"/>
      </w:tblGrid>
      <w:tr w:rsidR="004905C9" w:rsidRPr="00D85A79" w14:paraId="5AE5E5BC" w14:textId="77777777" w:rsidTr="00883778">
        <w:trPr>
          <w:trHeight w:val="113"/>
        </w:trPr>
        <w:tc>
          <w:tcPr>
            <w:tcW w:w="10420" w:type="dxa"/>
            <w:tcBorders>
              <w:top w:val="single" w:sz="12" w:space="0" w:color="C00000"/>
              <w:bottom w:val="single" w:sz="2" w:space="0" w:color="C00000"/>
            </w:tcBorders>
            <w:shd w:val="clear" w:color="auto" w:fill="auto"/>
          </w:tcPr>
          <w:p w14:paraId="541F96B8" w14:textId="58A42199" w:rsidR="004905C9" w:rsidRPr="00D85A79" w:rsidRDefault="004905C9" w:rsidP="00883778">
            <w:pPr>
              <w:rPr>
                <w:rFonts w:cs="Arial"/>
                <w:b/>
                <w:i/>
                <w:color w:val="C00000"/>
              </w:rPr>
            </w:pPr>
            <w:bookmarkStart w:id="41" w:name="_Toc73913246"/>
            <w:bookmarkStart w:id="42" w:name="_Toc76232407"/>
            <w:bookmarkStart w:id="43" w:name="_Toc77436416"/>
            <w:bookmarkStart w:id="44" w:name="_Toc77446363"/>
            <w:bookmarkStart w:id="45" w:name="_Toc78639992"/>
            <w:bookmarkStart w:id="46" w:name="_Toc79269729"/>
            <w:bookmarkStart w:id="47" w:name="_Toc79351734"/>
            <w:bookmarkStart w:id="48" w:name="_Toc80478243"/>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w:instrText>
            </w:r>
            <w:r w:rsidRPr="00D85A79">
              <w:rPr>
                <w:rFonts w:cs="Arial" w:hint="eastAsia"/>
                <w:b/>
                <w:i/>
                <w:color w:val="C00000"/>
              </w:rPr>
              <w:instrText xml:space="preserve">SEQ </w:instrText>
            </w:r>
            <w:r w:rsidRPr="00D85A79">
              <w:rPr>
                <w:rFonts w:cs="Arial" w:hint="eastAsia"/>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9</w:t>
            </w:r>
            <w:r w:rsidRPr="00D85A79">
              <w:rPr>
                <w:rFonts w:cs="Arial"/>
                <w:b/>
                <w:i/>
                <w:color w:val="C00000"/>
              </w:rPr>
              <w:fldChar w:fldCharType="end"/>
            </w:r>
            <w:r w:rsidRPr="00D85A79">
              <w:rPr>
                <w:rFonts w:cs="Arial" w:hint="eastAsia"/>
                <w:b/>
                <w:i/>
                <w:color w:val="C00000"/>
              </w:rPr>
              <w:t>：价格相关高频数据</w:t>
            </w:r>
            <w:bookmarkEnd w:id="41"/>
            <w:bookmarkEnd w:id="42"/>
            <w:bookmarkEnd w:id="43"/>
            <w:bookmarkEnd w:id="44"/>
            <w:bookmarkEnd w:id="45"/>
            <w:bookmarkEnd w:id="46"/>
            <w:bookmarkEnd w:id="47"/>
            <w:bookmarkEnd w:id="48"/>
          </w:p>
        </w:tc>
      </w:tr>
      <w:tr w:rsidR="004905C9" w:rsidRPr="00D85A79" w14:paraId="2A7E62E6" w14:textId="77777777" w:rsidTr="00883778">
        <w:trPr>
          <w:trHeight w:val="421"/>
        </w:trPr>
        <w:tc>
          <w:tcPr>
            <w:tcW w:w="10420" w:type="dxa"/>
            <w:tcBorders>
              <w:top w:val="single" w:sz="2" w:space="0" w:color="C00000"/>
              <w:bottom w:val="single" w:sz="8" w:space="0" w:color="C00000"/>
            </w:tcBorders>
            <w:shd w:val="clear" w:color="auto" w:fill="auto"/>
          </w:tcPr>
          <w:tbl>
            <w:tblPr>
              <w:tblW w:w="9988" w:type="dxa"/>
              <w:tblLayout w:type="fixed"/>
              <w:tblLook w:val="04A0" w:firstRow="1" w:lastRow="0" w:firstColumn="1" w:lastColumn="0" w:noHBand="0" w:noVBand="1"/>
            </w:tblPr>
            <w:tblGrid>
              <w:gridCol w:w="557"/>
              <w:gridCol w:w="3326"/>
              <w:gridCol w:w="969"/>
              <w:gridCol w:w="852"/>
              <w:gridCol w:w="709"/>
              <w:gridCol w:w="891"/>
              <w:gridCol w:w="1093"/>
              <w:gridCol w:w="1591"/>
            </w:tblGrid>
            <w:tr w:rsidR="004905C9" w:rsidRPr="00D85A79" w14:paraId="64D42836" w14:textId="77777777" w:rsidTr="00883778">
              <w:trPr>
                <w:trHeight w:val="225"/>
              </w:trPr>
              <w:tc>
                <w:tcPr>
                  <w:tcW w:w="557" w:type="dxa"/>
                  <w:tcBorders>
                    <w:top w:val="single" w:sz="8" w:space="0" w:color="C0002E"/>
                    <w:left w:val="nil"/>
                    <w:bottom w:val="single" w:sz="4" w:space="0" w:color="C0504D"/>
                    <w:right w:val="nil"/>
                  </w:tcBorders>
                  <w:shd w:val="clear" w:color="000000" w:fill="C0504D"/>
                  <w:noWrap/>
                  <w:vAlign w:val="center"/>
                </w:tcPr>
                <w:p w14:paraId="40AB55C8" w14:textId="77777777" w:rsidR="004905C9" w:rsidRPr="00D85A79" w:rsidRDefault="004905C9" w:rsidP="00883778">
                  <w:pPr>
                    <w:widowControl/>
                    <w:jc w:val="left"/>
                    <w:rPr>
                      <w:rFonts w:eastAsia="等线" w:cs="Arial"/>
                      <w:b/>
                      <w:bCs/>
                      <w:color w:val="FFFFFF"/>
                      <w:kern w:val="0"/>
                      <w:sz w:val="16"/>
                      <w:szCs w:val="16"/>
                    </w:rPr>
                  </w:pPr>
                  <w:r>
                    <w:rPr>
                      <w:rFonts w:ascii="华文楷体" w:eastAsia="华文楷体" w:hAnsi="华文楷体" w:cs="Arial" w:hint="eastAsia"/>
                      <w:b/>
                      <w:bCs/>
                      <w:color w:val="FFFFFF"/>
                      <w:sz w:val="16"/>
                      <w:szCs w:val="16"/>
                    </w:rPr>
                    <w:t>大类</w:t>
                  </w:r>
                </w:p>
              </w:tc>
              <w:tc>
                <w:tcPr>
                  <w:tcW w:w="3326" w:type="dxa"/>
                  <w:tcBorders>
                    <w:top w:val="single" w:sz="8" w:space="0" w:color="C0002E"/>
                    <w:left w:val="nil"/>
                    <w:bottom w:val="single" w:sz="4" w:space="0" w:color="C0504D"/>
                    <w:right w:val="nil"/>
                  </w:tcBorders>
                  <w:shd w:val="clear" w:color="000000" w:fill="C0504D"/>
                  <w:noWrap/>
                  <w:vAlign w:val="center"/>
                </w:tcPr>
                <w:p w14:paraId="0806B67F"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指标名称</w:t>
                  </w:r>
                </w:p>
              </w:tc>
              <w:tc>
                <w:tcPr>
                  <w:tcW w:w="969" w:type="dxa"/>
                  <w:tcBorders>
                    <w:top w:val="single" w:sz="8" w:space="0" w:color="C0002E"/>
                    <w:left w:val="nil"/>
                    <w:bottom w:val="single" w:sz="4" w:space="0" w:color="C0504D"/>
                    <w:right w:val="nil"/>
                  </w:tcBorders>
                  <w:shd w:val="clear" w:color="000000" w:fill="C0504D"/>
                  <w:noWrap/>
                  <w:vAlign w:val="center"/>
                </w:tcPr>
                <w:p w14:paraId="0493DBA4"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本周值</w:t>
                  </w:r>
                </w:p>
              </w:tc>
              <w:tc>
                <w:tcPr>
                  <w:tcW w:w="852" w:type="dxa"/>
                  <w:tcBorders>
                    <w:top w:val="single" w:sz="8" w:space="0" w:color="C0002E"/>
                    <w:left w:val="nil"/>
                    <w:bottom w:val="single" w:sz="4" w:space="0" w:color="C0504D"/>
                    <w:right w:val="nil"/>
                  </w:tcBorders>
                  <w:shd w:val="clear" w:color="000000" w:fill="C0504D"/>
                  <w:noWrap/>
                  <w:vAlign w:val="center"/>
                </w:tcPr>
                <w:p w14:paraId="375DCA37"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本周环比</w:t>
                  </w:r>
                  <w:r>
                    <w:rPr>
                      <w:rFonts w:eastAsia="等线" w:cs="Arial"/>
                      <w:b/>
                      <w:bCs/>
                      <w:color w:val="FFFFFF"/>
                      <w:sz w:val="16"/>
                      <w:szCs w:val="16"/>
                    </w:rPr>
                    <w:t>(%)</w:t>
                  </w:r>
                </w:p>
              </w:tc>
              <w:tc>
                <w:tcPr>
                  <w:tcW w:w="709" w:type="dxa"/>
                  <w:tcBorders>
                    <w:top w:val="single" w:sz="8" w:space="0" w:color="C0002E"/>
                    <w:left w:val="nil"/>
                    <w:bottom w:val="single" w:sz="4" w:space="0" w:color="C0504D"/>
                    <w:right w:val="nil"/>
                  </w:tcBorders>
                  <w:shd w:val="clear" w:color="000000" w:fill="C0504D"/>
                  <w:noWrap/>
                  <w:vAlign w:val="center"/>
                </w:tcPr>
                <w:p w14:paraId="24237D31"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上周环比</w:t>
                  </w:r>
                  <w:r>
                    <w:rPr>
                      <w:rFonts w:eastAsia="等线" w:cs="Arial"/>
                      <w:b/>
                      <w:bCs/>
                      <w:color w:val="FFFFFF"/>
                      <w:sz w:val="16"/>
                      <w:szCs w:val="16"/>
                    </w:rPr>
                    <w:t>(%)</w:t>
                  </w:r>
                </w:p>
              </w:tc>
              <w:tc>
                <w:tcPr>
                  <w:tcW w:w="891" w:type="dxa"/>
                  <w:tcBorders>
                    <w:top w:val="single" w:sz="8" w:space="0" w:color="C0002E"/>
                    <w:left w:val="nil"/>
                    <w:bottom w:val="single" w:sz="4" w:space="0" w:color="C0504D"/>
                    <w:right w:val="nil"/>
                  </w:tcBorders>
                  <w:shd w:val="clear" w:color="000000" w:fill="C0504D"/>
                  <w:noWrap/>
                  <w:vAlign w:val="center"/>
                </w:tcPr>
                <w:p w14:paraId="00869925"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月初至今环比</w:t>
                  </w:r>
                  <w:r>
                    <w:rPr>
                      <w:rFonts w:eastAsia="等线" w:cs="Arial"/>
                      <w:b/>
                      <w:bCs/>
                      <w:color w:val="FFFFFF"/>
                      <w:sz w:val="16"/>
                      <w:szCs w:val="16"/>
                    </w:rPr>
                    <w:t>(%)</w:t>
                  </w:r>
                </w:p>
              </w:tc>
              <w:tc>
                <w:tcPr>
                  <w:tcW w:w="1093" w:type="dxa"/>
                  <w:tcBorders>
                    <w:top w:val="single" w:sz="8" w:space="0" w:color="C0002E"/>
                    <w:left w:val="nil"/>
                    <w:bottom w:val="single" w:sz="4" w:space="0" w:color="C0504D"/>
                    <w:right w:val="nil"/>
                  </w:tcBorders>
                  <w:shd w:val="clear" w:color="000000" w:fill="C0504D"/>
                  <w:noWrap/>
                  <w:vAlign w:val="center"/>
                </w:tcPr>
                <w:p w14:paraId="46ADD9D6"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月初至今同比</w:t>
                  </w:r>
                  <w:r>
                    <w:rPr>
                      <w:rFonts w:eastAsia="等线" w:cs="Arial"/>
                      <w:b/>
                      <w:bCs/>
                      <w:color w:val="FFFFFF"/>
                      <w:sz w:val="16"/>
                      <w:szCs w:val="16"/>
                    </w:rPr>
                    <w:t>(%)</w:t>
                  </w:r>
                </w:p>
              </w:tc>
              <w:tc>
                <w:tcPr>
                  <w:tcW w:w="1591" w:type="dxa"/>
                  <w:tcBorders>
                    <w:top w:val="single" w:sz="8" w:space="0" w:color="C0002E"/>
                    <w:left w:val="nil"/>
                    <w:bottom w:val="single" w:sz="4" w:space="0" w:color="C0504D"/>
                    <w:right w:val="nil"/>
                  </w:tcBorders>
                  <w:shd w:val="clear" w:color="000000" w:fill="C0504D"/>
                  <w:noWrap/>
                  <w:vAlign w:val="center"/>
                </w:tcPr>
                <w:p w14:paraId="168AC5D5" w14:textId="77777777" w:rsidR="004905C9" w:rsidRPr="00D85A79" w:rsidRDefault="004905C9" w:rsidP="00883778">
                  <w:pPr>
                    <w:widowControl/>
                    <w:jc w:val="center"/>
                    <w:rPr>
                      <w:rFonts w:eastAsia="等线" w:cs="Arial"/>
                      <w:b/>
                      <w:bCs/>
                      <w:color w:val="FFFFFF"/>
                      <w:kern w:val="0"/>
                      <w:sz w:val="16"/>
                      <w:szCs w:val="16"/>
                    </w:rPr>
                  </w:pPr>
                  <w:r>
                    <w:rPr>
                      <w:rFonts w:ascii="华文楷体" w:eastAsia="华文楷体" w:hAnsi="华文楷体" w:cs="Arial" w:hint="eastAsia"/>
                      <w:b/>
                      <w:bCs/>
                      <w:color w:val="FFFFFF"/>
                      <w:sz w:val="16"/>
                      <w:szCs w:val="16"/>
                    </w:rPr>
                    <w:t>更新时间</w:t>
                  </w:r>
                </w:p>
              </w:tc>
            </w:tr>
            <w:tr w:rsidR="004905C9" w:rsidRPr="00D85A79" w14:paraId="58DA197C" w14:textId="77777777" w:rsidTr="00883778">
              <w:trPr>
                <w:trHeight w:val="308"/>
              </w:trPr>
              <w:tc>
                <w:tcPr>
                  <w:tcW w:w="557" w:type="dxa"/>
                  <w:vMerge w:val="restart"/>
                  <w:tcBorders>
                    <w:top w:val="nil"/>
                    <w:left w:val="nil"/>
                    <w:bottom w:val="nil"/>
                    <w:right w:val="nil"/>
                  </w:tcBorders>
                  <w:shd w:val="clear" w:color="000000" w:fill="FFFFFF"/>
                  <w:noWrap/>
                  <w:vAlign w:val="center"/>
                </w:tcPr>
                <w:p w14:paraId="3A17836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CPI</w:t>
                  </w:r>
                </w:p>
              </w:tc>
              <w:tc>
                <w:tcPr>
                  <w:tcW w:w="3326" w:type="dxa"/>
                  <w:tcBorders>
                    <w:top w:val="nil"/>
                    <w:left w:val="nil"/>
                    <w:bottom w:val="nil"/>
                    <w:right w:val="nil"/>
                  </w:tcBorders>
                  <w:shd w:val="clear" w:color="000000" w:fill="FFFFFF"/>
                  <w:noWrap/>
                  <w:vAlign w:val="center"/>
                </w:tcPr>
                <w:p w14:paraId="33199DFA"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平均批发价</w:t>
                  </w:r>
                  <w:r>
                    <w:rPr>
                      <w:rFonts w:eastAsia="华文楷体" w:cs="Arial"/>
                      <w:color w:val="000000"/>
                      <w:sz w:val="16"/>
                      <w:szCs w:val="16"/>
                    </w:rPr>
                    <w:t>:</w:t>
                  </w:r>
                  <w:r>
                    <w:rPr>
                      <w:rFonts w:ascii="华文楷体" w:eastAsia="华文楷体" w:hAnsi="华文楷体" w:hint="eastAsia"/>
                      <w:color w:val="000000"/>
                      <w:sz w:val="16"/>
                      <w:szCs w:val="16"/>
                    </w:rPr>
                    <w:t>猪肉（元</w:t>
                  </w:r>
                  <w:r>
                    <w:rPr>
                      <w:rFonts w:eastAsia="华文楷体" w:cs="Arial"/>
                      <w:color w:val="000000"/>
                      <w:sz w:val="16"/>
                      <w:szCs w:val="16"/>
                    </w:rPr>
                    <w:t>/</w:t>
                  </w:r>
                  <w:r>
                    <w:rPr>
                      <w:rFonts w:ascii="华文楷体" w:eastAsia="华文楷体" w:hAnsi="华文楷体" w:hint="eastAsia"/>
                      <w:color w:val="000000"/>
                      <w:sz w:val="16"/>
                      <w:szCs w:val="16"/>
                    </w:rPr>
                    <w:t>公斤）</w:t>
                  </w:r>
                </w:p>
              </w:tc>
              <w:tc>
                <w:tcPr>
                  <w:tcW w:w="969" w:type="dxa"/>
                  <w:tcBorders>
                    <w:top w:val="nil"/>
                    <w:left w:val="nil"/>
                    <w:bottom w:val="nil"/>
                    <w:right w:val="nil"/>
                  </w:tcBorders>
                  <w:shd w:val="clear" w:color="000000" w:fill="DDEBF7"/>
                  <w:noWrap/>
                  <w:vAlign w:val="center"/>
                </w:tcPr>
                <w:p w14:paraId="78CE4E3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21.21 </w:t>
                  </w:r>
                </w:p>
              </w:tc>
              <w:tc>
                <w:tcPr>
                  <w:tcW w:w="852" w:type="dxa"/>
                  <w:tcBorders>
                    <w:top w:val="nil"/>
                    <w:left w:val="nil"/>
                    <w:bottom w:val="nil"/>
                    <w:right w:val="nil"/>
                  </w:tcBorders>
                  <w:shd w:val="clear" w:color="000000" w:fill="E2EFDA"/>
                  <w:noWrap/>
                  <w:vAlign w:val="center"/>
                </w:tcPr>
                <w:p w14:paraId="1D9AADD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-0.89 </w:t>
                  </w:r>
                </w:p>
              </w:tc>
              <w:tc>
                <w:tcPr>
                  <w:tcW w:w="709" w:type="dxa"/>
                  <w:tcBorders>
                    <w:top w:val="nil"/>
                    <w:left w:val="nil"/>
                    <w:bottom w:val="nil"/>
                    <w:right w:val="nil"/>
                  </w:tcBorders>
                  <w:shd w:val="clear" w:color="000000" w:fill="E2EFDA"/>
                  <w:noWrap/>
                  <w:vAlign w:val="center"/>
                </w:tcPr>
                <w:p w14:paraId="520C6E5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-3.39 </w:t>
                  </w:r>
                </w:p>
              </w:tc>
              <w:tc>
                <w:tcPr>
                  <w:tcW w:w="891" w:type="dxa"/>
                  <w:tcBorders>
                    <w:top w:val="nil"/>
                    <w:left w:val="nil"/>
                    <w:bottom w:val="nil"/>
                    <w:right w:val="nil"/>
                  </w:tcBorders>
                  <w:shd w:val="clear" w:color="000000" w:fill="E2EFDA"/>
                  <w:noWrap/>
                  <w:vAlign w:val="center"/>
                </w:tcPr>
                <w:p w14:paraId="41F2F4C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-3.36 </w:t>
                  </w:r>
                </w:p>
              </w:tc>
              <w:tc>
                <w:tcPr>
                  <w:tcW w:w="1093" w:type="dxa"/>
                  <w:tcBorders>
                    <w:top w:val="nil"/>
                    <w:left w:val="nil"/>
                    <w:bottom w:val="nil"/>
                    <w:right w:val="nil"/>
                  </w:tcBorders>
                  <w:shd w:val="clear" w:color="000000" w:fill="E2EFDA"/>
                  <w:noWrap/>
                  <w:vAlign w:val="center"/>
                </w:tcPr>
                <w:p w14:paraId="20A4331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-55.29 </w:t>
                  </w:r>
                </w:p>
              </w:tc>
              <w:tc>
                <w:tcPr>
                  <w:tcW w:w="1591" w:type="dxa"/>
                  <w:tcBorders>
                    <w:top w:val="nil"/>
                    <w:left w:val="nil"/>
                    <w:bottom w:val="nil"/>
                    <w:right w:val="nil"/>
                  </w:tcBorders>
                  <w:shd w:val="clear" w:color="auto" w:fill="auto"/>
                  <w:noWrap/>
                  <w:vAlign w:val="center"/>
                </w:tcPr>
                <w:p w14:paraId="564965F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7E987B5F" w14:textId="77777777" w:rsidTr="00883778">
              <w:trPr>
                <w:trHeight w:val="308"/>
              </w:trPr>
              <w:tc>
                <w:tcPr>
                  <w:tcW w:w="557" w:type="dxa"/>
                  <w:vMerge/>
                  <w:tcBorders>
                    <w:top w:val="nil"/>
                    <w:left w:val="nil"/>
                    <w:bottom w:val="nil"/>
                    <w:right w:val="nil"/>
                  </w:tcBorders>
                  <w:vAlign w:val="center"/>
                </w:tcPr>
                <w:p w14:paraId="421098F1"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11C828CD"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平均批发价</w:t>
                  </w:r>
                  <w:r>
                    <w:rPr>
                      <w:rFonts w:eastAsia="华文楷体" w:cs="Arial"/>
                      <w:color w:val="000000"/>
                      <w:sz w:val="16"/>
                      <w:szCs w:val="16"/>
                    </w:rPr>
                    <w:t>:</w:t>
                  </w:r>
                  <w:r>
                    <w:rPr>
                      <w:rFonts w:ascii="华文楷体" w:eastAsia="华文楷体" w:hAnsi="华文楷体" w:hint="eastAsia"/>
                      <w:color w:val="000000"/>
                      <w:sz w:val="16"/>
                      <w:szCs w:val="16"/>
                    </w:rPr>
                    <w:t>牛肉（元</w:t>
                  </w:r>
                  <w:r>
                    <w:rPr>
                      <w:rFonts w:eastAsia="华文楷体" w:cs="Arial"/>
                      <w:color w:val="000000"/>
                      <w:sz w:val="16"/>
                      <w:szCs w:val="16"/>
                    </w:rPr>
                    <w:t>/</w:t>
                  </w:r>
                  <w:r>
                    <w:rPr>
                      <w:rFonts w:ascii="华文楷体" w:eastAsia="华文楷体" w:hAnsi="华文楷体" w:hint="eastAsia"/>
                      <w:color w:val="000000"/>
                      <w:sz w:val="16"/>
                      <w:szCs w:val="16"/>
                    </w:rPr>
                    <w:t>公斤）</w:t>
                  </w:r>
                </w:p>
              </w:tc>
              <w:tc>
                <w:tcPr>
                  <w:tcW w:w="969" w:type="dxa"/>
                  <w:tcBorders>
                    <w:top w:val="nil"/>
                    <w:left w:val="nil"/>
                    <w:bottom w:val="nil"/>
                    <w:right w:val="nil"/>
                  </w:tcBorders>
                  <w:shd w:val="clear" w:color="000000" w:fill="DDEBF7"/>
                  <w:noWrap/>
                  <w:vAlign w:val="center"/>
                </w:tcPr>
                <w:p w14:paraId="46D1EC6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75.35 </w:t>
                  </w:r>
                </w:p>
              </w:tc>
              <w:tc>
                <w:tcPr>
                  <w:tcW w:w="852" w:type="dxa"/>
                  <w:tcBorders>
                    <w:top w:val="nil"/>
                    <w:left w:val="nil"/>
                    <w:bottom w:val="nil"/>
                    <w:right w:val="nil"/>
                  </w:tcBorders>
                  <w:shd w:val="clear" w:color="000000" w:fill="E2EFDA"/>
                  <w:noWrap/>
                  <w:vAlign w:val="center"/>
                </w:tcPr>
                <w:p w14:paraId="7E66300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-1.05 </w:t>
                  </w:r>
                </w:p>
              </w:tc>
              <w:tc>
                <w:tcPr>
                  <w:tcW w:w="709" w:type="dxa"/>
                  <w:tcBorders>
                    <w:top w:val="nil"/>
                    <w:left w:val="nil"/>
                    <w:bottom w:val="nil"/>
                    <w:right w:val="nil"/>
                  </w:tcBorders>
                  <w:shd w:val="clear" w:color="000000" w:fill="FDDCD5"/>
                  <w:noWrap/>
                  <w:vAlign w:val="center"/>
                </w:tcPr>
                <w:p w14:paraId="314CB6B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0.58 </w:t>
                  </w:r>
                </w:p>
              </w:tc>
              <w:tc>
                <w:tcPr>
                  <w:tcW w:w="891" w:type="dxa"/>
                  <w:tcBorders>
                    <w:top w:val="nil"/>
                    <w:left w:val="nil"/>
                    <w:bottom w:val="nil"/>
                    <w:right w:val="nil"/>
                  </w:tcBorders>
                  <w:shd w:val="clear" w:color="000000" w:fill="E2EFDA"/>
                  <w:noWrap/>
                  <w:vAlign w:val="center"/>
                </w:tcPr>
                <w:p w14:paraId="670A32D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-1.04 </w:t>
                  </w:r>
                </w:p>
              </w:tc>
              <w:tc>
                <w:tcPr>
                  <w:tcW w:w="1093" w:type="dxa"/>
                  <w:tcBorders>
                    <w:top w:val="nil"/>
                    <w:left w:val="nil"/>
                    <w:bottom w:val="nil"/>
                    <w:right w:val="nil"/>
                  </w:tcBorders>
                  <w:shd w:val="clear" w:color="000000" w:fill="FDDCD5"/>
                  <w:noWrap/>
                  <w:vAlign w:val="center"/>
                </w:tcPr>
                <w:p w14:paraId="0D4E44D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3.53 </w:t>
                  </w:r>
                </w:p>
              </w:tc>
              <w:tc>
                <w:tcPr>
                  <w:tcW w:w="1591" w:type="dxa"/>
                  <w:tcBorders>
                    <w:top w:val="nil"/>
                    <w:left w:val="nil"/>
                    <w:bottom w:val="nil"/>
                    <w:right w:val="nil"/>
                  </w:tcBorders>
                  <w:shd w:val="clear" w:color="auto" w:fill="auto"/>
                  <w:noWrap/>
                  <w:vAlign w:val="center"/>
                </w:tcPr>
                <w:p w14:paraId="0EB2DB6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13A7BD15" w14:textId="77777777" w:rsidTr="00883778">
              <w:trPr>
                <w:trHeight w:val="308"/>
              </w:trPr>
              <w:tc>
                <w:tcPr>
                  <w:tcW w:w="557" w:type="dxa"/>
                  <w:vMerge/>
                  <w:tcBorders>
                    <w:top w:val="nil"/>
                    <w:left w:val="nil"/>
                    <w:bottom w:val="nil"/>
                    <w:right w:val="nil"/>
                  </w:tcBorders>
                  <w:vAlign w:val="center"/>
                </w:tcPr>
                <w:p w14:paraId="3AC1F41B"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3DBE8EBE"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平均批发价</w:t>
                  </w:r>
                  <w:r>
                    <w:rPr>
                      <w:rFonts w:eastAsia="华文楷体" w:cs="Arial"/>
                      <w:color w:val="000000"/>
                      <w:sz w:val="16"/>
                      <w:szCs w:val="16"/>
                    </w:rPr>
                    <w:t>:</w:t>
                  </w:r>
                  <w:r>
                    <w:rPr>
                      <w:rFonts w:ascii="华文楷体" w:eastAsia="华文楷体" w:hAnsi="华文楷体" w:hint="eastAsia"/>
                      <w:color w:val="000000"/>
                      <w:sz w:val="16"/>
                      <w:szCs w:val="16"/>
                    </w:rPr>
                    <w:t>羊肉（元</w:t>
                  </w:r>
                  <w:r>
                    <w:rPr>
                      <w:rFonts w:eastAsia="华文楷体" w:cs="Arial"/>
                      <w:color w:val="000000"/>
                      <w:sz w:val="16"/>
                      <w:szCs w:val="16"/>
                    </w:rPr>
                    <w:t>/</w:t>
                  </w:r>
                  <w:r>
                    <w:rPr>
                      <w:rFonts w:ascii="华文楷体" w:eastAsia="华文楷体" w:hAnsi="华文楷体" w:hint="eastAsia"/>
                      <w:color w:val="000000"/>
                      <w:sz w:val="16"/>
                      <w:szCs w:val="16"/>
                    </w:rPr>
                    <w:t>公斤）</w:t>
                  </w:r>
                </w:p>
              </w:tc>
              <w:tc>
                <w:tcPr>
                  <w:tcW w:w="969" w:type="dxa"/>
                  <w:tcBorders>
                    <w:top w:val="nil"/>
                    <w:left w:val="nil"/>
                    <w:bottom w:val="nil"/>
                    <w:right w:val="nil"/>
                  </w:tcBorders>
                  <w:shd w:val="clear" w:color="000000" w:fill="DDEBF7"/>
                  <w:noWrap/>
                  <w:vAlign w:val="center"/>
                </w:tcPr>
                <w:p w14:paraId="5276EE2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69.70 </w:t>
                  </w:r>
                </w:p>
              </w:tc>
              <w:tc>
                <w:tcPr>
                  <w:tcW w:w="852" w:type="dxa"/>
                  <w:tcBorders>
                    <w:top w:val="nil"/>
                    <w:left w:val="nil"/>
                    <w:bottom w:val="nil"/>
                    <w:right w:val="nil"/>
                  </w:tcBorders>
                  <w:shd w:val="clear" w:color="000000" w:fill="E2EFDA"/>
                  <w:noWrap/>
                  <w:vAlign w:val="center"/>
                </w:tcPr>
                <w:p w14:paraId="379C4EC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-1.34 </w:t>
                  </w:r>
                </w:p>
              </w:tc>
              <w:tc>
                <w:tcPr>
                  <w:tcW w:w="709" w:type="dxa"/>
                  <w:tcBorders>
                    <w:top w:val="nil"/>
                    <w:left w:val="nil"/>
                    <w:bottom w:val="nil"/>
                    <w:right w:val="nil"/>
                  </w:tcBorders>
                  <w:shd w:val="clear" w:color="000000" w:fill="FDDCD5"/>
                  <w:noWrap/>
                  <w:vAlign w:val="center"/>
                </w:tcPr>
                <w:p w14:paraId="0286E9A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0.20 </w:t>
                  </w:r>
                </w:p>
              </w:tc>
              <w:tc>
                <w:tcPr>
                  <w:tcW w:w="891" w:type="dxa"/>
                  <w:tcBorders>
                    <w:top w:val="nil"/>
                    <w:left w:val="nil"/>
                    <w:bottom w:val="nil"/>
                    <w:right w:val="nil"/>
                  </w:tcBorders>
                  <w:shd w:val="clear" w:color="000000" w:fill="E2EFDA"/>
                  <w:noWrap/>
                  <w:vAlign w:val="center"/>
                </w:tcPr>
                <w:p w14:paraId="0CBDAE5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-2.95 </w:t>
                  </w:r>
                </w:p>
              </w:tc>
              <w:tc>
                <w:tcPr>
                  <w:tcW w:w="1093" w:type="dxa"/>
                  <w:tcBorders>
                    <w:top w:val="nil"/>
                    <w:left w:val="nil"/>
                    <w:bottom w:val="nil"/>
                    <w:right w:val="nil"/>
                  </w:tcBorders>
                  <w:shd w:val="clear" w:color="000000" w:fill="E2EFDA"/>
                  <w:noWrap/>
                  <w:vAlign w:val="center"/>
                </w:tcPr>
                <w:p w14:paraId="63D5115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-0.55 </w:t>
                  </w:r>
                </w:p>
              </w:tc>
              <w:tc>
                <w:tcPr>
                  <w:tcW w:w="1591" w:type="dxa"/>
                  <w:tcBorders>
                    <w:top w:val="nil"/>
                    <w:left w:val="nil"/>
                    <w:bottom w:val="nil"/>
                    <w:right w:val="nil"/>
                  </w:tcBorders>
                  <w:shd w:val="clear" w:color="auto" w:fill="auto"/>
                  <w:noWrap/>
                  <w:vAlign w:val="center"/>
                </w:tcPr>
                <w:p w14:paraId="00067AF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07798165" w14:textId="77777777" w:rsidTr="00883778">
              <w:trPr>
                <w:trHeight w:val="308"/>
              </w:trPr>
              <w:tc>
                <w:tcPr>
                  <w:tcW w:w="557" w:type="dxa"/>
                  <w:vMerge/>
                  <w:tcBorders>
                    <w:top w:val="nil"/>
                    <w:left w:val="nil"/>
                    <w:bottom w:val="nil"/>
                    <w:right w:val="nil"/>
                  </w:tcBorders>
                  <w:vAlign w:val="center"/>
                </w:tcPr>
                <w:p w14:paraId="250D8B53"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13A6B53B"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平均批发价</w:t>
                  </w:r>
                  <w:r>
                    <w:rPr>
                      <w:rFonts w:eastAsia="华文楷体" w:cs="Arial"/>
                      <w:color w:val="000000"/>
                      <w:sz w:val="16"/>
                      <w:szCs w:val="16"/>
                    </w:rPr>
                    <w:t>:</w:t>
                  </w:r>
                  <w:r>
                    <w:rPr>
                      <w:rFonts w:ascii="华文楷体" w:eastAsia="华文楷体" w:hAnsi="华文楷体" w:hint="eastAsia"/>
                      <w:color w:val="000000"/>
                      <w:sz w:val="16"/>
                      <w:szCs w:val="16"/>
                    </w:rPr>
                    <w:t>鸡蛋（元</w:t>
                  </w:r>
                  <w:r>
                    <w:rPr>
                      <w:rFonts w:eastAsia="华文楷体" w:cs="Arial"/>
                      <w:color w:val="000000"/>
                      <w:sz w:val="16"/>
                      <w:szCs w:val="16"/>
                    </w:rPr>
                    <w:t>/</w:t>
                  </w:r>
                  <w:r>
                    <w:rPr>
                      <w:rFonts w:ascii="华文楷体" w:eastAsia="华文楷体" w:hAnsi="华文楷体" w:hint="eastAsia"/>
                      <w:color w:val="000000"/>
                      <w:sz w:val="16"/>
                      <w:szCs w:val="16"/>
                    </w:rPr>
                    <w:t>公斤）</w:t>
                  </w:r>
                </w:p>
              </w:tc>
              <w:tc>
                <w:tcPr>
                  <w:tcW w:w="969" w:type="dxa"/>
                  <w:tcBorders>
                    <w:top w:val="nil"/>
                    <w:left w:val="nil"/>
                    <w:bottom w:val="nil"/>
                    <w:right w:val="nil"/>
                  </w:tcBorders>
                  <w:shd w:val="clear" w:color="000000" w:fill="DDEBF7"/>
                  <w:noWrap/>
                  <w:vAlign w:val="center"/>
                </w:tcPr>
                <w:p w14:paraId="7D836408"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10.44 </w:t>
                  </w:r>
                </w:p>
              </w:tc>
              <w:tc>
                <w:tcPr>
                  <w:tcW w:w="852" w:type="dxa"/>
                  <w:tcBorders>
                    <w:top w:val="nil"/>
                    <w:left w:val="nil"/>
                    <w:bottom w:val="nil"/>
                    <w:right w:val="nil"/>
                  </w:tcBorders>
                  <w:shd w:val="clear" w:color="000000" w:fill="E2EFDA"/>
                  <w:noWrap/>
                  <w:vAlign w:val="center"/>
                </w:tcPr>
                <w:p w14:paraId="34A191A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-2.79 </w:t>
                  </w:r>
                </w:p>
              </w:tc>
              <w:tc>
                <w:tcPr>
                  <w:tcW w:w="709" w:type="dxa"/>
                  <w:tcBorders>
                    <w:top w:val="nil"/>
                    <w:left w:val="nil"/>
                    <w:bottom w:val="nil"/>
                    <w:right w:val="nil"/>
                  </w:tcBorders>
                  <w:shd w:val="clear" w:color="000000" w:fill="FDDCD5"/>
                  <w:noWrap/>
                  <w:vAlign w:val="center"/>
                </w:tcPr>
                <w:p w14:paraId="355E5C9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2.19 </w:t>
                  </w:r>
                </w:p>
              </w:tc>
              <w:tc>
                <w:tcPr>
                  <w:tcW w:w="891" w:type="dxa"/>
                  <w:tcBorders>
                    <w:top w:val="nil"/>
                    <w:left w:val="nil"/>
                    <w:bottom w:val="nil"/>
                    <w:right w:val="nil"/>
                  </w:tcBorders>
                  <w:shd w:val="clear" w:color="000000" w:fill="FDDCD5"/>
                  <w:noWrap/>
                  <w:vAlign w:val="center"/>
                </w:tcPr>
                <w:p w14:paraId="0013A07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17.06 </w:t>
                  </w:r>
                </w:p>
              </w:tc>
              <w:tc>
                <w:tcPr>
                  <w:tcW w:w="1093" w:type="dxa"/>
                  <w:tcBorders>
                    <w:top w:val="nil"/>
                    <w:left w:val="nil"/>
                    <w:bottom w:val="nil"/>
                    <w:right w:val="nil"/>
                  </w:tcBorders>
                  <w:shd w:val="clear" w:color="000000" w:fill="FDDCD5"/>
                  <w:noWrap/>
                  <w:vAlign w:val="center"/>
                </w:tcPr>
                <w:p w14:paraId="0BFEEBB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28.86 </w:t>
                  </w:r>
                </w:p>
              </w:tc>
              <w:tc>
                <w:tcPr>
                  <w:tcW w:w="1591" w:type="dxa"/>
                  <w:tcBorders>
                    <w:top w:val="nil"/>
                    <w:left w:val="nil"/>
                    <w:bottom w:val="nil"/>
                    <w:right w:val="nil"/>
                  </w:tcBorders>
                  <w:shd w:val="clear" w:color="auto" w:fill="auto"/>
                  <w:noWrap/>
                  <w:vAlign w:val="center"/>
                </w:tcPr>
                <w:p w14:paraId="4DA67F9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689BD28D" w14:textId="77777777" w:rsidTr="00883778">
              <w:trPr>
                <w:trHeight w:val="308"/>
              </w:trPr>
              <w:tc>
                <w:tcPr>
                  <w:tcW w:w="557" w:type="dxa"/>
                  <w:vMerge/>
                  <w:tcBorders>
                    <w:top w:val="nil"/>
                    <w:left w:val="nil"/>
                    <w:bottom w:val="nil"/>
                    <w:right w:val="nil"/>
                  </w:tcBorders>
                  <w:vAlign w:val="center"/>
                </w:tcPr>
                <w:p w14:paraId="5B65B02B"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67244F77"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平均批发价</w:t>
                  </w:r>
                  <w:r>
                    <w:rPr>
                      <w:rFonts w:eastAsia="华文楷体" w:cs="Arial"/>
                      <w:color w:val="000000"/>
                      <w:sz w:val="16"/>
                      <w:szCs w:val="16"/>
                    </w:rPr>
                    <w:t>:</w:t>
                  </w:r>
                  <w:r>
                    <w:rPr>
                      <w:rFonts w:ascii="华文楷体" w:eastAsia="华文楷体" w:hAnsi="华文楷体" w:hint="eastAsia"/>
                      <w:color w:val="000000"/>
                      <w:sz w:val="16"/>
                      <w:szCs w:val="16"/>
                    </w:rPr>
                    <w:t>白条鸡（元</w:t>
                  </w:r>
                  <w:r>
                    <w:rPr>
                      <w:rFonts w:eastAsia="华文楷体" w:cs="Arial"/>
                      <w:color w:val="000000"/>
                      <w:sz w:val="16"/>
                      <w:szCs w:val="16"/>
                    </w:rPr>
                    <w:t>/</w:t>
                  </w:r>
                  <w:r>
                    <w:rPr>
                      <w:rFonts w:ascii="华文楷体" w:eastAsia="华文楷体" w:hAnsi="华文楷体" w:hint="eastAsia"/>
                      <w:color w:val="000000"/>
                      <w:sz w:val="16"/>
                      <w:szCs w:val="16"/>
                    </w:rPr>
                    <w:t>公斤）</w:t>
                  </w:r>
                </w:p>
              </w:tc>
              <w:tc>
                <w:tcPr>
                  <w:tcW w:w="969" w:type="dxa"/>
                  <w:tcBorders>
                    <w:top w:val="nil"/>
                    <w:left w:val="nil"/>
                    <w:bottom w:val="nil"/>
                    <w:right w:val="nil"/>
                  </w:tcBorders>
                  <w:shd w:val="clear" w:color="000000" w:fill="DDEBF7"/>
                  <w:noWrap/>
                  <w:vAlign w:val="center"/>
                </w:tcPr>
                <w:p w14:paraId="77096D0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16.83 </w:t>
                  </w:r>
                </w:p>
              </w:tc>
              <w:tc>
                <w:tcPr>
                  <w:tcW w:w="852" w:type="dxa"/>
                  <w:tcBorders>
                    <w:top w:val="nil"/>
                    <w:left w:val="nil"/>
                    <w:bottom w:val="nil"/>
                    <w:right w:val="nil"/>
                  </w:tcBorders>
                  <w:shd w:val="clear" w:color="000000" w:fill="FDDCD5"/>
                  <w:noWrap/>
                  <w:vAlign w:val="center"/>
                </w:tcPr>
                <w:p w14:paraId="3FA7CB5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0.12 </w:t>
                  </w:r>
                </w:p>
              </w:tc>
              <w:tc>
                <w:tcPr>
                  <w:tcW w:w="709" w:type="dxa"/>
                  <w:tcBorders>
                    <w:top w:val="nil"/>
                    <w:left w:val="nil"/>
                    <w:bottom w:val="nil"/>
                    <w:right w:val="nil"/>
                  </w:tcBorders>
                  <w:shd w:val="clear" w:color="000000" w:fill="FDDCD5"/>
                  <w:noWrap/>
                  <w:vAlign w:val="center"/>
                </w:tcPr>
                <w:p w14:paraId="23303B0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0.36 </w:t>
                  </w:r>
                </w:p>
              </w:tc>
              <w:tc>
                <w:tcPr>
                  <w:tcW w:w="891" w:type="dxa"/>
                  <w:tcBorders>
                    <w:top w:val="nil"/>
                    <w:left w:val="nil"/>
                    <w:bottom w:val="nil"/>
                    <w:right w:val="nil"/>
                  </w:tcBorders>
                  <w:shd w:val="clear" w:color="000000" w:fill="FDDCD5"/>
                  <w:noWrap/>
                  <w:vAlign w:val="center"/>
                </w:tcPr>
                <w:p w14:paraId="0C55F38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0.25 </w:t>
                  </w:r>
                </w:p>
              </w:tc>
              <w:tc>
                <w:tcPr>
                  <w:tcW w:w="1093" w:type="dxa"/>
                  <w:tcBorders>
                    <w:top w:val="nil"/>
                    <w:left w:val="nil"/>
                    <w:bottom w:val="nil"/>
                    <w:right w:val="nil"/>
                  </w:tcBorders>
                  <w:shd w:val="clear" w:color="000000" w:fill="FDDCD5"/>
                  <w:noWrap/>
                  <w:vAlign w:val="center"/>
                </w:tcPr>
                <w:p w14:paraId="586D714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2.33 </w:t>
                  </w:r>
                </w:p>
              </w:tc>
              <w:tc>
                <w:tcPr>
                  <w:tcW w:w="1591" w:type="dxa"/>
                  <w:tcBorders>
                    <w:top w:val="nil"/>
                    <w:left w:val="nil"/>
                    <w:bottom w:val="nil"/>
                    <w:right w:val="nil"/>
                  </w:tcBorders>
                  <w:shd w:val="clear" w:color="auto" w:fill="auto"/>
                  <w:noWrap/>
                  <w:vAlign w:val="center"/>
                </w:tcPr>
                <w:p w14:paraId="799F200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7FCC1356" w14:textId="77777777" w:rsidTr="00C23684">
              <w:trPr>
                <w:trHeight w:val="308"/>
              </w:trPr>
              <w:tc>
                <w:tcPr>
                  <w:tcW w:w="557" w:type="dxa"/>
                  <w:vMerge/>
                  <w:tcBorders>
                    <w:top w:val="nil"/>
                    <w:left w:val="nil"/>
                    <w:bottom w:val="nil"/>
                    <w:right w:val="nil"/>
                  </w:tcBorders>
                  <w:vAlign w:val="center"/>
                </w:tcPr>
                <w:p w14:paraId="3CE965BB"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60F09019"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平均批发价</w:t>
                  </w:r>
                  <w:r>
                    <w:rPr>
                      <w:rFonts w:eastAsia="华文楷体" w:cs="Arial"/>
                      <w:color w:val="000000"/>
                      <w:sz w:val="16"/>
                      <w:szCs w:val="16"/>
                    </w:rPr>
                    <w:t>:28</w:t>
                  </w:r>
                  <w:r>
                    <w:rPr>
                      <w:rFonts w:ascii="华文楷体" w:eastAsia="华文楷体" w:hAnsi="华文楷体" w:hint="eastAsia"/>
                      <w:color w:val="000000"/>
                      <w:sz w:val="16"/>
                      <w:szCs w:val="16"/>
                    </w:rPr>
                    <w:t>种重点监测蔬菜（元</w:t>
                  </w:r>
                  <w:r>
                    <w:rPr>
                      <w:rFonts w:eastAsia="华文楷体" w:cs="Arial"/>
                      <w:color w:val="000000"/>
                      <w:sz w:val="16"/>
                      <w:szCs w:val="16"/>
                    </w:rPr>
                    <w:t>/</w:t>
                  </w:r>
                  <w:r>
                    <w:rPr>
                      <w:rFonts w:ascii="华文楷体" w:eastAsia="华文楷体" w:hAnsi="华文楷体" w:hint="eastAsia"/>
                      <w:color w:val="000000"/>
                      <w:sz w:val="16"/>
                      <w:szCs w:val="16"/>
                    </w:rPr>
                    <w:t>公斤）</w:t>
                  </w:r>
                </w:p>
              </w:tc>
              <w:tc>
                <w:tcPr>
                  <w:tcW w:w="969" w:type="dxa"/>
                  <w:tcBorders>
                    <w:top w:val="nil"/>
                    <w:left w:val="nil"/>
                    <w:bottom w:val="nil"/>
                    <w:right w:val="nil"/>
                  </w:tcBorders>
                  <w:shd w:val="clear" w:color="000000" w:fill="DDEBF7"/>
                  <w:noWrap/>
                  <w:vAlign w:val="center"/>
                </w:tcPr>
                <w:p w14:paraId="07D4EEC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4.55 </w:t>
                  </w:r>
                </w:p>
              </w:tc>
              <w:tc>
                <w:tcPr>
                  <w:tcW w:w="852" w:type="dxa"/>
                  <w:tcBorders>
                    <w:top w:val="nil"/>
                    <w:left w:val="nil"/>
                    <w:bottom w:val="nil"/>
                    <w:right w:val="nil"/>
                  </w:tcBorders>
                  <w:shd w:val="clear" w:color="000000" w:fill="E2EFDA"/>
                  <w:noWrap/>
                  <w:vAlign w:val="center"/>
                </w:tcPr>
                <w:p w14:paraId="0ED8AD5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-2.15 </w:t>
                  </w:r>
                </w:p>
              </w:tc>
              <w:tc>
                <w:tcPr>
                  <w:tcW w:w="709" w:type="dxa"/>
                  <w:tcBorders>
                    <w:top w:val="nil"/>
                    <w:left w:val="nil"/>
                    <w:bottom w:val="nil"/>
                    <w:right w:val="nil"/>
                  </w:tcBorders>
                  <w:shd w:val="clear" w:color="000000" w:fill="E2EFDA"/>
                  <w:noWrap/>
                  <w:vAlign w:val="center"/>
                </w:tcPr>
                <w:p w14:paraId="297DEDA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-1.27 </w:t>
                  </w:r>
                </w:p>
              </w:tc>
              <w:tc>
                <w:tcPr>
                  <w:tcW w:w="891" w:type="dxa"/>
                  <w:tcBorders>
                    <w:top w:val="nil"/>
                    <w:left w:val="nil"/>
                    <w:bottom w:val="nil"/>
                    <w:right w:val="nil"/>
                  </w:tcBorders>
                  <w:shd w:val="clear" w:color="000000" w:fill="FDDCD5"/>
                  <w:noWrap/>
                  <w:vAlign w:val="center"/>
                </w:tcPr>
                <w:p w14:paraId="5F12980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13.29 </w:t>
                  </w:r>
                </w:p>
              </w:tc>
              <w:tc>
                <w:tcPr>
                  <w:tcW w:w="1093" w:type="dxa"/>
                  <w:tcBorders>
                    <w:top w:val="nil"/>
                    <w:left w:val="nil"/>
                    <w:bottom w:val="nil"/>
                    <w:right w:val="nil"/>
                  </w:tcBorders>
                  <w:shd w:val="clear" w:color="000000" w:fill="FDDCD5"/>
                  <w:noWrap/>
                  <w:vAlign w:val="center"/>
                </w:tcPr>
                <w:p w14:paraId="675F0A2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2.79 </w:t>
                  </w:r>
                </w:p>
              </w:tc>
              <w:tc>
                <w:tcPr>
                  <w:tcW w:w="1591" w:type="dxa"/>
                  <w:tcBorders>
                    <w:top w:val="nil"/>
                    <w:left w:val="nil"/>
                    <w:right w:val="nil"/>
                  </w:tcBorders>
                  <w:shd w:val="clear" w:color="auto" w:fill="auto"/>
                  <w:noWrap/>
                  <w:vAlign w:val="center"/>
                </w:tcPr>
                <w:p w14:paraId="44154A3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63D503CE" w14:textId="77777777" w:rsidTr="00C23684">
              <w:trPr>
                <w:trHeight w:val="308"/>
              </w:trPr>
              <w:tc>
                <w:tcPr>
                  <w:tcW w:w="557" w:type="dxa"/>
                  <w:vMerge/>
                  <w:tcBorders>
                    <w:top w:val="nil"/>
                    <w:left w:val="nil"/>
                    <w:bottom w:val="nil"/>
                    <w:right w:val="nil"/>
                  </w:tcBorders>
                  <w:vAlign w:val="center"/>
                </w:tcPr>
                <w:p w14:paraId="530ECCC4"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79D26539"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平均批发价</w:t>
                  </w:r>
                  <w:r>
                    <w:rPr>
                      <w:rFonts w:eastAsia="华文楷体" w:cs="Arial"/>
                      <w:color w:val="000000"/>
                      <w:sz w:val="16"/>
                      <w:szCs w:val="16"/>
                    </w:rPr>
                    <w:t>:7</w:t>
                  </w:r>
                  <w:r>
                    <w:rPr>
                      <w:rFonts w:ascii="华文楷体" w:eastAsia="华文楷体" w:hAnsi="华文楷体" w:hint="eastAsia"/>
                      <w:color w:val="000000"/>
                      <w:sz w:val="16"/>
                      <w:szCs w:val="16"/>
                    </w:rPr>
                    <w:t>种重点监测水果（元</w:t>
                  </w:r>
                  <w:r>
                    <w:rPr>
                      <w:rFonts w:eastAsia="华文楷体" w:cs="Arial"/>
                      <w:color w:val="000000"/>
                      <w:sz w:val="16"/>
                      <w:szCs w:val="16"/>
                    </w:rPr>
                    <w:t>/</w:t>
                  </w:r>
                  <w:r>
                    <w:rPr>
                      <w:rFonts w:ascii="华文楷体" w:eastAsia="华文楷体" w:hAnsi="华文楷体" w:hint="eastAsia"/>
                      <w:color w:val="000000"/>
                      <w:sz w:val="16"/>
                      <w:szCs w:val="16"/>
                    </w:rPr>
                    <w:t>公斤）</w:t>
                  </w:r>
                </w:p>
              </w:tc>
              <w:tc>
                <w:tcPr>
                  <w:tcW w:w="969" w:type="dxa"/>
                  <w:tcBorders>
                    <w:top w:val="nil"/>
                    <w:left w:val="nil"/>
                    <w:bottom w:val="nil"/>
                    <w:right w:val="nil"/>
                  </w:tcBorders>
                  <w:shd w:val="clear" w:color="000000" w:fill="DDEBF7"/>
                  <w:noWrap/>
                  <w:vAlign w:val="center"/>
                </w:tcPr>
                <w:p w14:paraId="17823CB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5.54 </w:t>
                  </w:r>
                </w:p>
              </w:tc>
              <w:tc>
                <w:tcPr>
                  <w:tcW w:w="852" w:type="dxa"/>
                  <w:tcBorders>
                    <w:top w:val="nil"/>
                    <w:left w:val="nil"/>
                    <w:bottom w:val="nil"/>
                    <w:right w:val="nil"/>
                  </w:tcBorders>
                  <w:shd w:val="clear" w:color="000000" w:fill="E2EFDA"/>
                  <w:noWrap/>
                  <w:vAlign w:val="center"/>
                </w:tcPr>
                <w:p w14:paraId="7A60CA0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-2.64 </w:t>
                  </w:r>
                </w:p>
              </w:tc>
              <w:tc>
                <w:tcPr>
                  <w:tcW w:w="709" w:type="dxa"/>
                  <w:tcBorders>
                    <w:top w:val="nil"/>
                    <w:left w:val="nil"/>
                    <w:bottom w:val="nil"/>
                    <w:right w:val="nil"/>
                  </w:tcBorders>
                  <w:shd w:val="clear" w:color="000000" w:fill="E2EFDA"/>
                  <w:noWrap/>
                  <w:vAlign w:val="center"/>
                </w:tcPr>
                <w:p w14:paraId="6E33E85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-0.35 </w:t>
                  </w:r>
                </w:p>
              </w:tc>
              <w:tc>
                <w:tcPr>
                  <w:tcW w:w="891" w:type="dxa"/>
                  <w:tcBorders>
                    <w:top w:val="nil"/>
                    <w:left w:val="nil"/>
                    <w:bottom w:val="nil"/>
                    <w:right w:val="nil"/>
                  </w:tcBorders>
                  <w:shd w:val="clear" w:color="000000" w:fill="E2EFDA"/>
                  <w:noWrap/>
                  <w:vAlign w:val="center"/>
                </w:tcPr>
                <w:p w14:paraId="5865B55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-3.53 </w:t>
                  </w:r>
                </w:p>
              </w:tc>
              <w:tc>
                <w:tcPr>
                  <w:tcW w:w="1093" w:type="dxa"/>
                  <w:tcBorders>
                    <w:top w:val="nil"/>
                    <w:left w:val="nil"/>
                    <w:bottom w:val="nil"/>
                    <w:right w:val="nil"/>
                  </w:tcBorders>
                  <w:shd w:val="clear" w:color="000000" w:fill="FDDCD5"/>
                  <w:noWrap/>
                  <w:vAlign w:val="center"/>
                </w:tcPr>
                <w:p w14:paraId="50E9983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7.31 </w:t>
                  </w:r>
                </w:p>
              </w:tc>
              <w:tc>
                <w:tcPr>
                  <w:tcW w:w="1591" w:type="dxa"/>
                  <w:tcBorders>
                    <w:top w:val="nil"/>
                    <w:left w:val="nil"/>
                    <w:bottom w:val="single" w:sz="4" w:space="0" w:color="auto"/>
                    <w:right w:val="nil"/>
                  </w:tcBorders>
                  <w:shd w:val="clear" w:color="auto" w:fill="auto"/>
                  <w:noWrap/>
                  <w:vAlign w:val="center"/>
                </w:tcPr>
                <w:p w14:paraId="2C80CA1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2021-08-20</w:t>
                  </w:r>
                </w:p>
              </w:tc>
            </w:tr>
            <w:tr w:rsidR="004905C9" w:rsidRPr="00D85A79" w14:paraId="052E822A" w14:textId="77777777" w:rsidTr="00C23684">
              <w:trPr>
                <w:trHeight w:val="308"/>
              </w:trPr>
              <w:tc>
                <w:tcPr>
                  <w:tcW w:w="557" w:type="dxa"/>
                  <w:vMerge w:val="restart"/>
                  <w:tcBorders>
                    <w:top w:val="single" w:sz="4" w:space="0" w:color="auto"/>
                    <w:left w:val="nil"/>
                    <w:bottom w:val="single" w:sz="4" w:space="0" w:color="000000"/>
                    <w:right w:val="nil"/>
                  </w:tcBorders>
                  <w:shd w:val="clear" w:color="000000" w:fill="FFFFFF"/>
                  <w:noWrap/>
                  <w:vAlign w:val="center"/>
                </w:tcPr>
                <w:p w14:paraId="7DFFEBE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PPI</w:t>
                  </w:r>
                </w:p>
              </w:tc>
              <w:tc>
                <w:tcPr>
                  <w:tcW w:w="3326" w:type="dxa"/>
                  <w:tcBorders>
                    <w:top w:val="single" w:sz="4" w:space="0" w:color="auto"/>
                    <w:left w:val="nil"/>
                    <w:bottom w:val="nil"/>
                    <w:right w:val="nil"/>
                  </w:tcBorders>
                  <w:shd w:val="clear" w:color="000000" w:fill="FFFFFF"/>
                  <w:noWrap/>
                  <w:vAlign w:val="center"/>
                </w:tcPr>
                <w:p w14:paraId="5E0AA0C3"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期货结算价</w:t>
                  </w:r>
                  <w:r>
                    <w:rPr>
                      <w:rFonts w:eastAsia="华文楷体" w:cs="Arial"/>
                      <w:color w:val="000000"/>
                      <w:sz w:val="16"/>
                      <w:szCs w:val="16"/>
                    </w:rPr>
                    <w:t>(</w:t>
                  </w:r>
                  <w:r>
                    <w:rPr>
                      <w:rFonts w:ascii="华文楷体" w:eastAsia="华文楷体" w:hAnsi="华文楷体" w:hint="eastAsia"/>
                      <w:color w:val="000000"/>
                      <w:sz w:val="16"/>
                      <w:szCs w:val="16"/>
                    </w:rPr>
                    <w:t>连续</w:t>
                  </w:r>
                  <w:r>
                    <w:rPr>
                      <w:rFonts w:eastAsia="华文楷体" w:cs="Arial"/>
                      <w:color w:val="000000"/>
                      <w:sz w:val="16"/>
                      <w:szCs w:val="16"/>
                    </w:rPr>
                    <w:t>):</w:t>
                  </w:r>
                  <w:r>
                    <w:rPr>
                      <w:rFonts w:ascii="华文楷体" w:eastAsia="华文楷体" w:hAnsi="华文楷体" w:hint="eastAsia"/>
                      <w:color w:val="000000"/>
                      <w:sz w:val="16"/>
                      <w:szCs w:val="16"/>
                    </w:rPr>
                    <w:t>布伦特原油（美元</w:t>
                  </w:r>
                  <w:r>
                    <w:rPr>
                      <w:rFonts w:eastAsia="华文楷体" w:cs="Arial"/>
                      <w:color w:val="000000"/>
                      <w:sz w:val="16"/>
                      <w:szCs w:val="16"/>
                    </w:rPr>
                    <w:t>/</w:t>
                  </w:r>
                  <w:r>
                    <w:rPr>
                      <w:rFonts w:ascii="华文楷体" w:eastAsia="华文楷体" w:hAnsi="华文楷体" w:hint="eastAsia"/>
                      <w:color w:val="000000"/>
                      <w:sz w:val="16"/>
                      <w:szCs w:val="16"/>
                    </w:rPr>
                    <w:t>桶）</w:t>
                  </w:r>
                </w:p>
              </w:tc>
              <w:tc>
                <w:tcPr>
                  <w:tcW w:w="969" w:type="dxa"/>
                  <w:tcBorders>
                    <w:top w:val="single" w:sz="4" w:space="0" w:color="auto"/>
                    <w:left w:val="nil"/>
                    <w:bottom w:val="nil"/>
                    <w:right w:val="nil"/>
                  </w:tcBorders>
                  <w:shd w:val="clear" w:color="000000" w:fill="DDEBF7"/>
                  <w:noWrap/>
                  <w:vAlign w:val="center"/>
                </w:tcPr>
                <w:p w14:paraId="58C6458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65.18 </w:t>
                  </w:r>
                </w:p>
              </w:tc>
              <w:tc>
                <w:tcPr>
                  <w:tcW w:w="852" w:type="dxa"/>
                  <w:tcBorders>
                    <w:top w:val="single" w:sz="4" w:space="0" w:color="auto"/>
                    <w:left w:val="nil"/>
                    <w:bottom w:val="nil"/>
                    <w:right w:val="nil"/>
                  </w:tcBorders>
                  <w:shd w:val="clear" w:color="000000" w:fill="E2EFDA"/>
                  <w:noWrap/>
                  <w:vAlign w:val="center"/>
                </w:tcPr>
                <w:p w14:paraId="49676E4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-7.66 </w:t>
                  </w:r>
                </w:p>
              </w:tc>
              <w:tc>
                <w:tcPr>
                  <w:tcW w:w="709" w:type="dxa"/>
                  <w:tcBorders>
                    <w:top w:val="single" w:sz="4" w:space="0" w:color="auto"/>
                    <w:left w:val="nil"/>
                    <w:bottom w:val="nil"/>
                    <w:right w:val="nil"/>
                  </w:tcBorders>
                  <w:shd w:val="clear" w:color="000000" w:fill="E2EFDA"/>
                  <w:noWrap/>
                  <w:vAlign w:val="center"/>
                </w:tcPr>
                <w:p w14:paraId="1FFF09F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-0.16 </w:t>
                  </w:r>
                </w:p>
              </w:tc>
              <w:tc>
                <w:tcPr>
                  <w:tcW w:w="891" w:type="dxa"/>
                  <w:tcBorders>
                    <w:top w:val="single" w:sz="4" w:space="0" w:color="auto"/>
                    <w:left w:val="nil"/>
                    <w:bottom w:val="nil"/>
                    <w:right w:val="nil"/>
                  </w:tcBorders>
                  <w:shd w:val="clear" w:color="000000" w:fill="E2EFDA"/>
                  <w:noWrap/>
                  <w:vAlign w:val="center"/>
                </w:tcPr>
                <w:p w14:paraId="162D1C19" w14:textId="77777777" w:rsidR="004905C9" w:rsidRPr="00D85A79" w:rsidRDefault="004905C9" w:rsidP="00883778">
                  <w:pPr>
                    <w:widowControl/>
                    <w:ind w:firstLineChars="100" w:firstLine="160"/>
                    <w:rPr>
                      <w:rFonts w:eastAsia="等线" w:cs="Arial"/>
                      <w:color w:val="000000"/>
                      <w:kern w:val="0"/>
                      <w:sz w:val="16"/>
                      <w:szCs w:val="16"/>
                    </w:rPr>
                  </w:pPr>
                  <w:r>
                    <w:rPr>
                      <w:rFonts w:eastAsia="等线" w:cs="Arial"/>
                      <w:color w:val="000000"/>
                      <w:sz w:val="16"/>
                      <w:szCs w:val="16"/>
                    </w:rPr>
                    <w:t xml:space="preserve">-5.69 </w:t>
                  </w:r>
                </w:p>
              </w:tc>
              <w:tc>
                <w:tcPr>
                  <w:tcW w:w="1093" w:type="dxa"/>
                  <w:tcBorders>
                    <w:top w:val="single" w:sz="4" w:space="0" w:color="auto"/>
                    <w:left w:val="nil"/>
                    <w:bottom w:val="nil"/>
                    <w:right w:val="nil"/>
                  </w:tcBorders>
                  <w:shd w:val="clear" w:color="000000" w:fill="FDDCD5"/>
                  <w:noWrap/>
                  <w:vAlign w:val="center"/>
                </w:tcPr>
                <w:p w14:paraId="5B9BB1B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55.66 </w:t>
                  </w:r>
                </w:p>
              </w:tc>
              <w:tc>
                <w:tcPr>
                  <w:tcW w:w="1591" w:type="dxa"/>
                  <w:tcBorders>
                    <w:top w:val="single" w:sz="4" w:space="0" w:color="auto"/>
                    <w:left w:val="nil"/>
                    <w:bottom w:val="nil"/>
                    <w:right w:val="nil"/>
                  </w:tcBorders>
                  <w:shd w:val="clear" w:color="auto" w:fill="auto"/>
                  <w:noWrap/>
                  <w:vAlign w:val="center"/>
                </w:tcPr>
                <w:p w14:paraId="7EFE8483" w14:textId="77777777" w:rsidR="004905C9" w:rsidRPr="00D85A79" w:rsidRDefault="004905C9" w:rsidP="00883778">
                  <w:pPr>
                    <w:widowControl/>
                    <w:jc w:val="center"/>
                    <w:rPr>
                      <w:rFonts w:eastAsia="等线" w:cs="Arial"/>
                      <w:sz w:val="16"/>
                      <w:szCs w:val="16"/>
                    </w:rPr>
                  </w:pPr>
                  <w:r>
                    <w:rPr>
                      <w:rFonts w:eastAsia="等线" w:cs="Arial"/>
                      <w:color w:val="000000"/>
                      <w:sz w:val="16"/>
                      <w:szCs w:val="16"/>
                    </w:rPr>
                    <w:t>2021-08-20</w:t>
                  </w:r>
                </w:p>
              </w:tc>
            </w:tr>
            <w:tr w:rsidR="004905C9" w:rsidRPr="00D85A79" w14:paraId="427CF23D" w14:textId="77777777" w:rsidTr="00883778">
              <w:trPr>
                <w:trHeight w:val="308"/>
              </w:trPr>
              <w:tc>
                <w:tcPr>
                  <w:tcW w:w="557" w:type="dxa"/>
                  <w:vMerge/>
                  <w:tcBorders>
                    <w:top w:val="single" w:sz="4" w:space="0" w:color="auto"/>
                    <w:left w:val="nil"/>
                    <w:bottom w:val="single" w:sz="4" w:space="0" w:color="000000"/>
                    <w:right w:val="nil"/>
                  </w:tcBorders>
                  <w:vAlign w:val="center"/>
                </w:tcPr>
                <w:p w14:paraId="64444060"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296688C7"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期货结算价</w:t>
                  </w:r>
                  <w:r>
                    <w:rPr>
                      <w:rFonts w:eastAsia="华文楷体" w:cs="Arial"/>
                      <w:color w:val="000000"/>
                      <w:sz w:val="16"/>
                      <w:szCs w:val="16"/>
                    </w:rPr>
                    <w:t>(</w:t>
                  </w:r>
                  <w:r>
                    <w:rPr>
                      <w:rFonts w:ascii="华文楷体" w:eastAsia="华文楷体" w:hAnsi="华文楷体" w:hint="eastAsia"/>
                      <w:color w:val="000000"/>
                      <w:sz w:val="16"/>
                      <w:szCs w:val="16"/>
                    </w:rPr>
                    <w:t>连续</w:t>
                  </w:r>
                  <w:r>
                    <w:rPr>
                      <w:rFonts w:eastAsia="华文楷体" w:cs="Arial"/>
                      <w:color w:val="000000"/>
                      <w:sz w:val="16"/>
                      <w:szCs w:val="16"/>
                    </w:rPr>
                    <w:t>):WTI</w:t>
                  </w:r>
                  <w:r>
                    <w:rPr>
                      <w:rFonts w:ascii="华文楷体" w:eastAsia="华文楷体" w:hAnsi="华文楷体" w:hint="eastAsia"/>
                      <w:color w:val="000000"/>
                      <w:sz w:val="16"/>
                      <w:szCs w:val="16"/>
                    </w:rPr>
                    <w:t>原油（美元</w:t>
                  </w:r>
                  <w:r>
                    <w:rPr>
                      <w:rFonts w:eastAsia="华文楷体" w:cs="Arial"/>
                      <w:color w:val="000000"/>
                      <w:sz w:val="16"/>
                      <w:szCs w:val="16"/>
                    </w:rPr>
                    <w:t>/</w:t>
                  </w:r>
                  <w:r>
                    <w:rPr>
                      <w:rFonts w:ascii="华文楷体" w:eastAsia="华文楷体" w:hAnsi="华文楷体" w:hint="eastAsia"/>
                      <w:color w:val="000000"/>
                      <w:sz w:val="16"/>
                      <w:szCs w:val="16"/>
                    </w:rPr>
                    <w:t>桶）</w:t>
                  </w:r>
                </w:p>
              </w:tc>
              <w:tc>
                <w:tcPr>
                  <w:tcW w:w="969" w:type="dxa"/>
                  <w:tcBorders>
                    <w:top w:val="nil"/>
                    <w:left w:val="nil"/>
                    <w:bottom w:val="nil"/>
                    <w:right w:val="nil"/>
                  </w:tcBorders>
                  <w:shd w:val="clear" w:color="000000" w:fill="DDEBF7"/>
                  <w:noWrap/>
                  <w:vAlign w:val="center"/>
                </w:tcPr>
                <w:p w14:paraId="5D9A155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62.14 </w:t>
                  </w:r>
                </w:p>
              </w:tc>
              <w:tc>
                <w:tcPr>
                  <w:tcW w:w="852" w:type="dxa"/>
                  <w:tcBorders>
                    <w:top w:val="nil"/>
                    <w:left w:val="nil"/>
                    <w:bottom w:val="nil"/>
                    <w:right w:val="nil"/>
                  </w:tcBorders>
                  <w:shd w:val="clear" w:color="000000" w:fill="E2EFDA"/>
                  <w:noWrap/>
                  <w:vAlign w:val="center"/>
                </w:tcPr>
                <w:p w14:paraId="7B312BF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-9.21 </w:t>
                  </w:r>
                </w:p>
              </w:tc>
              <w:tc>
                <w:tcPr>
                  <w:tcW w:w="709" w:type="dxa"/>
                  <w:tcBorders>
                    <w:top w:val="nil"/>
                    <w:left w:val="nil"/>
                    <w:bottom w:val="nil"/>
                    <w:right w:val="nil"/>
                  </w:tcBorders>
                  <w:shd w:val="clear" w:color="000000" w:fill="FDDCD5"/>
                  <w:noWrap/>
                  <w:vAlign w:val="center"/>
                </w:tcPr>
                <w:p w14:paraId="287013D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0.23 </w:t>
                  </w:r>
                </w:p>
              </w:tc>
              <w:tc>
                <w:tcPr>
                  <w:tcW w:w="891" w:type="dxa"/>
                  <w:tcBorders>
                    <w:top w:val="nil"/>
                    <w:left w:val="nil"/>
                    <w:bottom w:val="nil"/>
                    <w:right w:val="nil"/>
                  </w:tcBorders>
                  <w:shd w:val="clear" w:color="000000" w:fill="E2EFDA"/>
                  <w:noWrap/>
                  <w:vAlign w:val="center"/>
                </w:tcPr>
                <w:p w14:paraId="6EB5339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-7.15 </w:t>
                  </w:r>
                </w:p>
              </w:tc>
              <w:tc>
                <w:tcPr>
                  <w:tcW w:w="1093" w:type="dxa"/>
                  <w:tcBorders>
                    <w:top w:val="nil"/>
                    <w:left w:val="nil"/>
                    <w:bottom w:val="nil"/>
                    <w:right w:val="nil"/>
                  </w:tcBorders>
                  <w:shd w:val="clear" w:color="000000" w:fill="FDDCD5"/>
                  <w:noWrap/>
                  <w:vAlign w:val="center"/>
                </w:tcPr>
                <w:p w14:paraId="3888C23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60.40 </w:t>
                  </w:r>
                </w:p>
              </w:tc>
              <w:tc>
                <w:tcPr>
                  <w:tcW w:w="1591" w:type="dxa"/>
                  <w:tcBorders>
                    <w:top w:val="nil"/>
                    <w:left w:val="nil"/>
                    <w:bottom w:val="nil"/>
                    <w:right w:val="nil"/>
                  </w:tcBorders>
                  <w:shd w:val="clear" w:color="auto" w:fill="auto"/>
                  <w:noWrap/>
                  <w:vAlign w:val="center"/>
                </w:tcPr>
                <w:p w14:paraId="719028DF" w14:textId="77777777" w:rsidR="004905C9" w:rsidRPr="00D85A79" w:rsidRDefault="004905C9" w:rsidP="00883778">
                  <w:pPr>
                    <w:widowControl/>
                    <w:jc w:val="center"/>
                    <w:rPr>
                      <w:rFonts w:eastAsia="等线" w:cs="Arial"/>
                      <w:sz w:val="16"/>
                      <w:szCs w:val="16"/>
                    </w:rPr>
                  </w:pPr>
                  <w:r>
                    <w:rPr>
                      <w:rFonts w:eastAsia="等线" w:cs="Arial"/>
                      <w:color w:val="000000"/>
                      <w:sz w:val="16"/>
                      <w:szCs w:val="16"/>
                    </w:rPr>
                    <w:t>2021-08-20</w:t>
                  </w:r>
                </w:p>
              </w:tc>
            </w:tr>
            <w:tr w:rsidR="004905C9" w:rsidRPr="00D85A79" w14:paraId="4FB727F2" w14:textId="77777777" w:rsidTr="00883778">
              <w:trPr>
                <w:trHeight w:val="308"/>
              </w:trPr>
              <w:tc>
                <w:tcPr>
                  <w:tcW w:w="557" w:type="dxa"/>
                  <w:vMerge/>
                  <w:tcBorders>
                    <w:top w:val="single" w:sz="4" w:space="0" w:color="auto"/>
                    <w:left w:val="nil"/>
                    <w:bottom w:val="single" w:sz="4" w:space="0" w:color="000000"/>
                    <w:right w:val="nil"/>
                  </w:tcBorders>
                  <w:vAlign w:val="center"/>
                </w:tcPr>
                <w:p w14:paraId="4E65F87C"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38FA7D39"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期货收盘价：</w:t>
                  </w:r>
                  <w:r>
                    <w:rPr>
                      <w:rFonts w:eastAsia="华文楷体" w:cs="Arial"/>
                      <w:color w:val="000000"/>
                      <w:sz w:val="16"/>
                      <w:szCs w:val="16"/>
                    </w:rPr>
                    <w:t>LME3</w:t>
                  </w:r>
                  <w:r>
                    <w:rPr>
                      <w:rFonts w:ascii="华文楷体" w:eastAsia="华文楷体" w:hAnsi="华文楷体" w:hint="eastAsia"/>
                      <w:color w:val="000000"/>
                      <w:sz w:val="16"/>
                      <w:szCs w:val="16"/>
                    </w:rPr>
                    <w:t>个月铜（美元</w:t>
                  </w:r>
                  <w:r>
                    <w:rPr>
                      <w:rFonts w:eastAsia="华文楷体" w:cs="Arial"/>
                      <w:color w:val="000000"/>
                      <w:sz w:val="16"/>
                      <w:szCs w:val="16"/>
                    </w:rPr>
                    <w:t>/</w:t>
                  </w:r>
                  <w:r>
                    <w:rPr>
                      <w:rFonts w:ascii="华文楷体" w:eastAsia="华文楷体" w:hAnsi="华文楷体" w:hint="eastAsia"/>
                      <w:color w:val="000000"/>
                      <w:sz w:val="16"/>
                      <w:szCs w:val="16"/>
                    </w:rPr>
                    <w:t>吨）</w:t>
                  </w:r>
                </w:p>
              </w:tc>
              <w:tc>
                <w:tcPr>
                  <w:tcW w:w="969" w:type="dxa"/>
                  <w:tcBorders>
                    <w:top w:val="nil"/>
                    <w:left w:val="nil"/>
                    <w:bottom w:val="nil"/>
                    <w:right w:val="nil"/>
                  </w:tcBorders>
                  <w:shd w:val="clear" w:color="000000" w:fill="DDEBF7"/>
                  <w:noWrap/>
                  <w:vAlign w:val="center"/>
                </w:tcPr>
                <w:p w14:paraId="7CA2B4D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9051.50 </w:t>
                  </w:r>
                </w:p>
              </w:tc>
              <w:tc>
                <w:tcPr>
                  <w:tcW w:w="852" w:type="dxa"/>
                  <w:tcBorders>
                    <w:top w:val="nil"/>
                    <w:left w:val="nil"/>
                    <w:bottom w:val="nil"/>
                    <w:right w:val="nil"/>
                  </w:tcBorders>
                  <w:shd w:val="clear" w:color="000000" w:fill="E2EFDA"/>
                  <w:noWrap/>
                  <w:vAlign w:val="center"/>
                </w:tcPr>
                <w:p w14:paraId="08FFB03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-4.92 </w:t>
                  </w:r>
                </w:p>
              </w:tc>
              <w:tc>
                <w:tcPr>
                  <w:tcW w:w="709" w:type="dxa"/>
                  <w:tcBorders>
                    <w:top w:val="nil"/>
                    <w:left w:val="nil"/>
                    <w:bottom w:val="nil"/>
                    <w:right w:val="nil"/>
                  </w:tcBorders>
                  <w:shd w:val="clear" w:color="000000" w:fill="FDDCD5"/>
                  <w:noWrap/>
                  <w:vAlign w:val="center"/>
                </w:tcPr>
                <w:p w14:paraId="5417CBE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0.53 </w:t>
                  </w:r>
                </w:p>
              </w:tc>
              <w:tc>
                <w:tcPr>
                  <w:tcW w:w="891" w:type="dxa"/>
                  <w:tcBorders>
                    <w:top w:val="nil"/>
                    <w:left w:val="nil"/>
                    <w:bottom w:val="nil"/>
                    <w:right w:val="nil"/>
                  </w:tcBorders>
                  <w:shd w:val="clear" w:color="000000" w:fill="E2EFDA"/>
                  <w:noWrap/>
                  <w:vAlign w:val="center"/>
                </w:tcPr>
                <w:p w14:paraId="2FF53C6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-0.05 </w:t>
                  </w:r>
                </w:p>
              </w:tc>
              <w:tc>
                <w:tcPr>
                  <w:tcW w:w="1093" w:type="dxa"/>
                  <w:tcBorders>
                    <w:top w:val="nil"/>
                    <w:left w:val="nil"/>
                    <w:bottom w:val="nil"/>
                    <w:right w:val="nil"/>
                  </w:tcBorders>
                  <w:shd w:val="clear" w:color="000000" w:fill="FDDCD5"/>
                  <w:noWrap/>
                  <w:vAlign w:val="center"/>
                </w:tcPr>
                <w:p w14:paraId="6E1BD23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45.27 </w:t>
                  </w:r>
                </w:p>
              </w:tc>
              <w:tc>
                <w:tcPr>
                  <w:tcW w:w="1591" w:type="dxa"/>
                  <w:tcBorders>
                    <w:top w:val="nil"/>
                    <w:left w:val="nil"/>
                    <w:bottom w:val="nil"/>
                    <w:right w:val="nil"/>
                  </w:tcBorders>
                  <w:shd w:val="clear" w:color="auto" w:fill="auto"/>
                  <w:noWrap/>
                  <w:vAlign w:val="center"/>
                </w:tcPr>
                <w:p w14:paraId="3C5CD07D" w14:textId="77777777" w:rsidR="004905C9" w:rsidRPr="00D85A79" w:rsidRDefault="004905C9" w:rsidP="00883778">
                  <w:pPr>
                    <w:widowControl/>
                    <w:jc w:val="center"/>
                    <w:rPr>
                      <w:rFonts w:eastAsia="等线" w:cs="Arial"/>
                      <w:sz w:val="16"/>
                      <w:szCs w:val="16"/>
                    </w:rPr>
                  </w:pPr>
                  <w:r>
                    <w:rPr>
                      <w:rFonts w:eastAsia="等线" w:cs="Arial"/>
                      <w:sz w:val="16"/>
                      <w:szCs w:val="16"/>
                    </w:rPr>
                    <w:t>2021-08-20</w:t>
                  </w:r>
                </w:p>
              </w:tc>
            </w:tr>
            <w:tr w:rsidR="004905C9" w:rsidRPr="00D85A79" w14:paraId="2D52460B" w14:textId="77777777" w:rsidTr="00883778">
              <w:trPr>
                <w:trHeight w:val="308"/>
              </w:trPr>
              <w:tc>
                <w:tcPr>
                  <w:tcW w:w="557" w:type="dxa"/>
                  <w:vMerge/>
                  <w:tcBorders>
                    <w:top w:val="single" w:sz="4" w:space="0" w:color="auto"/>
                    <w:left w:val="nil"/>
                    <w:bottom w:val="single" w:sz="4" w:space="0" w:color="000000"/>
                    <w:right w:val="nil"/>
                  </w:tcBorders>
                  <w:vAlign w:val="center"/>
                </w:tcPr>
                <w:p w14:paraId="40845544"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2FC7F030"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期货收盘价：</w:t>
                  </w:r>
                  <w:r>
                    <w:rPr>
                      <w:rFonts w:eastAsia="华文楷体" w:cs="Arial"/>
                      <w:color w:val="000000"/>
                      <w:sz w:val="16"/>
                      <w:szCs w:val="16"/>
                    </w:rPr>
                    <w:t>LME3</w:t>
                  </w:r>
                  <w:r>
                    <w:rPr>
                      <w:rFonts w:ascii="华文楷体" w:eastAsia="华文楷体" w:hAnsi="华文楷体" w:hint="eastAsia"/>
                      <w:color w:val="000000"/>
                      <w:sz w:val="16"/>
                      <w:szCs w:val="16"/>
                    </w:rPr>
                    <w:t>个月铝（美元</w:t>
                  </w:r>
                  <w:r>
                    <w:rPr>
                      <w:rFonts w:eastAsia="华文楷体" w:cs="Arial"/>
                      <w:color w:val="000000"/>
                      <w:sz w:val="16"/>
                      <w:szCs w:val="16"/>
                    </w:rPr>
                    <w:t>/</w:t>
                  </w:r>
                  <w:r>
                    <w:rPr>
                      <w:rFonts w:ascii="华文楷体" w:eastAsia="华文楷体" w:hAnsi="华文楷体" w:hint="eastAsia"/>
                      <w:color w:val="000000"/>
                      <w:sz w:val="16"/>
                      <w:szCs w:val="16"/>
                    </w:rPr>
                    <w:t>吨）</w:t>
                  </w:r>
                </w:p>
              </w:tc>
              <w:tc>
                <w:tcPr>
                  <w:tcW w:w="969" w:type="dxa"/>
                  <w:tcBorders>
                    <w:top w:val="nil"/>
                    <w:left w:val="nil"/>
                    <w:bottom w:val="nil"/>
                    <w:right w:val="nil"/>
                  </w:tcBorders>
                  <w:shd w:val="clear" w:color="000000" w:fill="DDEBF7"/>
                  <w:noWrap/>
                  <w:vAlign w:val="center"/>
                </w:tcPr>
                <w:p w14:paraId="24563D2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2555.00 </w:t>
                  </w:r>
                </w:p>
              </w:tc>
              <w:tc>
                <w:tcPr>
                  <w:tcW w:w="852" w:type="dxa"/>
                  <w:tcBorders>
                    <w:top w:val="nil"/>
                    <w:left w:val="nil"/>
                    <w:bottom w:val="nil"/>
                    <w:right w:val="nil"/>
                  </w:tcBorders>
                  <w:shd w:val="clear" w:color="000000" w:fill="E2EFDA"/>
                  <w:noWrap/>
                  <w:vAlign w:val="center"/>
                </w:tcPr>
                <w:p w14:paraId="1B74C13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-2.14 </w:t>
                  </w:r>
                </w:p>
              </w:tc>
              <w:tc>
                <w:tcPr>
                  <w:tcW w:w="709" w:type="dxa"/>
                  <w:tcBorders>
                    <w:top w:val="nil"/>
                    <w:left w:val="nil"/>
                    <w:bottom w:val="nil"/>
                    <w:right w:val="nil"/>
                  </w:tcBorders>
                  <w:shd w:val="clear" w:color="000000" w:fill="FDDCD5"/>
                  <w:noWrap/>
                  <w:vAlign w:val="center"/>
                </w:tcPr>
                <w:p w14:paraId="6925D9E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1.06 </w:t>
                  </w:r>
                </w:p>
              </w:tc>
              <w:tc>
                <w:tcPr>
                  <w:tcW w:w="891" w:type="dxa"/>
                  <w:tcBorders>
                    <w:top w:val="nil"/>
                    <w:left w:val="nil"/>
                    <w:bottom w:val="nil"/>
                    <w:right w:val="nil"/>
                  </w:tcBorders>
                  <w:shd w:val="clear" w:color="000000" w:fill="FDDCD5"/>
                  <w:noWrap/>
                  <w:vAlign w:val="center"/>
                </w:tcPr>
                <w:p w14:paraId="6C24B10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3.23 </w:t>
                  </w:r>
                </w:p>
              </w:tc>
              <w:tc>
                <w:tcPr>
                  <w:tcW w:w="1093" w:type="dxa"/>
                  <w:tcBorders>
                    <w:top w:val="nil"/>
                    <w:left w:val="nil"/>
                    <w:bottom w:val="nil"/>
                    <w:right w:val="nil"/>
                  </w:tcBorders>
                  <w:shd w:val="clear" w:color="000000" w:fill="FDDCD5"/>
                  <w:noWrap/>
                  <w:vAlign w:val="center"/>
                </w:tcPr>
                <w:p w14:paraId="56A94CE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45.75 </w:t>
                  </w:r>
                </w:p>
              </w:tc>
              <w:tc>
                <w:tcPr>
                  <w:tcW w:w="1591" w:type="dxa"/>
                  <w:tcBorders>
                    <w:top w:val="nil"/>
                    <w:left w:val="nil"/>
                    <w:bottom w:val="nil"/>
                    <w:right w:val="nil"/>
                  </w:tcBorders>
                  <w:shd w:val="clear" w:color="auto" w:fill="auto"/>
                  <w:noWrap/>
                  <w:vAlign w:val="center"/>
                </w:tcPr>
                <w:p w14:paraId="37F78266" w14:textId="77777777" w:rsidR="004905C9" w:rsidRPr="00D85A79" w:rsidRDefault="004905C9" w:rsidP="00883778">
                  <w:pPr>
                    <w:widowControl/>
                    <w:jc w:val="center"/>
                    <w:rPr>
                      <w:rFonts w:eastAsia="等线" w:cs="Arial"/>
                      <w:sz w:val="16"/>
                      <w:szCs w:val="16"/>
                    </w:rPr>
                  </w:pPr>
                  <w:r>
                    <w:rPr>
                      <w:rFonts w:eastAsia="等线" w:cs="Arial"/>
                      <w:sz w:val="16"/>
                      <w:szCs w:val="16"/>
                    </w:rPr>
                    <w:t>2021-08-20</w:t>
                  </w:r>
                </w:p>
              </w:tc>
            </w:tr>
            <w:tr w:rsidR="004905C9" w:rsidRPr="00D85A79" w14:paraId="3177BA3B" w14:textId="77777777" w:rsidTr="00883778">
              <w:trPr>
                <w:trHeight w:val="308"/>
              </w:trPr>
              <w:tc>
                <w:tcPr>
                  <w:tcW w:w="557" w:type="dxa"/>
                  <w:vMerge/>
                  <w:tcBorders>
                    <w:top w:val="single" w:sz="4" w:space="0" w:color="auto"/>
                    <w:left w:val="nil"/>
                    <w:bottom w:val="single" w:sz="4" w:space="0" w:color="000000"/>
                    <w:right w:val="nil"/>
                  </w:tcBorders>
                  <w:vAlign w:val="center"/>
                </w:tcPr>
                <w:p w14:paraId="4855D64F"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200B650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CRB</w:t>
                  </w:r>
                  <w:r>
                    <w:rPr>
                      <w:rFonts w:ascii="华文楷体" w:eastAsia="华文楷体" w:hAnsi="华文楷体" w:cs="Arial" w:hint="eastAsia"/>
                      <w:color w:val="000000"/>
                      <w:sz w:val="16"/>
                      <w:szCs w:val="16"/>
                    </w:rPr>
                    <w:t>现货指数</w:t>
                  </w:r>
                  <w:r>
                    <w:rPr>
                      <w:rFonts w:eastAsia="等线" w:cs="Arial"/>
                      <w:color w:val="000000"/>
                      <w:sz w:val="16"/>
                      <w:szCs w:val="16"/>
                    </w:rPr>
                    <w:t>:</w:t>
                  </w:r>
                  <w:r>
                    <w:rPr>
                      <w:rFonts w:ascii="华文楷体" w:eastAsia="华文楷体" w:hAnsi="华文楷体" w:cs="Arial" w:hint="eastAsia"/>
                      <w:color w:val="000000"/>
                      <w:sz w:val="16"/>
                      <w:szCs w:val="16"/>
                    </w:rPr>
                    <w:t>综合（点）</w:t>
                  </w:r>
                </w:p>
              </w:tc>
              <w:tc>
                <w:tcPr>
                  <w:tcW w:w="969" w:type="dxa"/>
                  <w:tcBorders>
                    <w:top w:val="nil"/>
                    <w:left w:val="nil"/>
                    <w:bottom w:val="nil"/>
                    <w:right w:val="nil"/>
                  </w:tcBorders>
                  <w:shd w:val="clear" w:color="000000" w:fill="DDEBF7"/>
                  <w:noWrap/>
                  <w:vAlign w:val="center"/>
                </w:tcPr>
                <w:p w14:paraId="702F663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562.53 </w:t>
                  </w:r>
                </w:p>
              </w:tc>
              <w:tc>
                <w:tcPr>
                  <w:tcW w:w="852" w:type="dxa"/>
                  <w:tcBorders>
                    <w:top w:val="nil"/>
                    <w:left w:val="nil"/>
                    <w:bottom w:val="nil"/>
                    <w:right w:val="nil"/>
                  </w:tcBorders>
                  <w:shd w:val="clear" w:color="000000" w:fill="E2EFDA"/>
                  <w:noWrap/>
                  <w:vAlign w:val="center"/>
                </w:tcPr>
                <w:p w14:paraId="6571B11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-0.32 </w:t>
                  </w:r>
                </w:p>
              </w:tc>
              <w:tc>
                <w:tcPr>
                  <w:tcW w:w="709" w:type="dxa"/>
                  <w:tcBorders>
                    <w:top w:val="nil"/>
                    <w:left w:val="nil"/>
                    <w:bottom w:val="nil"/>
                    <w:right w:val="nil"/>
                  </w:tcBorders>
                  <w:shd w:val="clear" w:color="000000" w:fill="FDDCD5"/>
                  <w:noWrap/>
                  <w:vAlign w:val="center"/>
                </w:tcPr>
                <w:p w14:paraId="55A46AB1" w14:textId="77777777" w:rsidR="004905C9" w:rsidRPr="00D85A79" w:rsidRDefault="004905C9" w:rsidP="00883778">
                  <w:pPr>
                    <w:widowControl/>
                    <w:jc w:val="center"/>
                    <w:rPr>
                      <w:rFonts w:ascii="Times New Roman" w:eastAsia="Times New Roman" w:hAnsi="Times New Roman"/>
                      <w:kern w:val="0"/>
                      <w:sz w:val="20"/>
                      <w:szCs w:val="20"/>
                    </w:rPr>
                  </w:pPr>
                  <w:r>
                    <w:rPr>
                      <w:rFonts w:eastAsia="等线" w:cs="Arial"/>
                      <w:color w:val="000000"/>
                      <w:sz w:val="16"/>
                      <w:szCs w:val="16"/>
                    </w:rPr>
                    <w:t xml:space="preserve">0.73 </w:t>
                  </w:r>
                </w:p>
              </w:tc>
              <w:tc>
                <w:tcPr>
                  <w:tcW w:w="891" w:type="dxa"/>
                  <w:tcBorders>
                    <w:top w:val="nil"/>
                    <w:left w:val="nil"/>
                    <w:bottom w:val="nil"/>
                    <w:right w:val="nil"/>
                  </w:tcBorders>
                  <w:shd w:val="clear" w:color="000000" w:fill="FDDCD5"/>
                  <w:noWrap/>
                  <w:vAlign w:val="center"/>
                </w:tcPr>
                <w:p w14:paraId="1F9DFB3E" w14:textId="77777777" w:rsidR="004905C9" w:rsidRPr="00D85A79" w:rsidRDefault="004905C9" w:rsidP="00883778">
                  <w:pPr>
                    <w:widowControl/>
                    <w:jc w:val="center"/>
                    <w:rPr>
                      <w:rFonts w:ascii="Times New Roman" w:eastAsia="Times New Roman" w:hAnsi="Times New Roman"/>
                      <w:kern w:val="0"/>
                      <w:sz w:val="20"/>
                      <w:szCs w:val="20"/>
                    </w:rPr>
                  </w:pPr>
                  <w:r>
                    <w:rPr>
                      <w:rFonts w:eastAsia="等线" w:cs="Arial"/>
                      <w:color w:val="000000"/>
                      <w:sz w:val="16"/>
                      <w:szCs w:val="16"/>
                    </w:rPr>
                    <w:t xml:space="preserve">0.94 </w:t>
                  </w:r>
                </w:p>
              </w:tc>
              <w:tc>
                <w:tcPr>
                  <w:tcW w:w="1093" w:type="dxa"/>
                  <w:tcBorders>
                    <w:top w:val="nil"/>
                    <w:left w:val="nil"/>
                    <w:bottom w:val="nil"/>
                    <w:right w:val="nil"/>
                  </w:tcBorders>
                  <w:shd w:val="clear" w:color="000000" w:fill="FDDCD5"/>
                  <w:noWrap/>
                  <w:vAlign w:val="center"/>
                </w:tcPr>
                <w:p w14:paraId="0ABC456E" w14:textId="77777777" w:rsidR="004905C9" w:rsidRPr="00D85A79" w:rsidRDefault="004905C9" w:rsidP="00883778">
                  <w:pPr>
                    <w:widowControl/>
                    <w:jc w:val="center"/>
                    <w:rPr>
                      <w:rFonts w:ascii="Times New Roman" w:eastAsia="Times New Roman" w:hAnsi="Times New Roman"/>
                      <w:kern w:val="0"/>
                      <w:sz w:val="20"/>
                      <w:szCs w:val="20"/>
                    </w:rPr>
                  </w:pPr>
                  <w:r>
                    <w:rPr>
                      <w:rFonts w:eastAsia="等线" w:cs="Arial"/>
                      <w:color w:val="000000"/>
                      <w:sz w:val="16"/>
                      <w:szCs w:val="16"/>
                    </w:rPr>
                    <w:t xml:space="preserve">47.78 </w:t>
                  </w:r>
                </w:p>
              </w:tc>
              <w:tc>
                <w:tcPr>
                  <w:tcW w:w="1591" w:type="dxa"/>
                  <w:tcBorders>
                    <w:top w:val="nil"/>
                    <w:left w:val="nil"/>
                    <w:bottom w:val="nil"/>
                    <w:right w:val="nil"/>
                  </w:tcBorders>
                  <w:shd w:val="clear" w:color="auto" w:fill="auto"/>
                  <w:noWrap/>
                  <w:vAlign w:val="center"/>
                </w:tcPr>
                <w:p w14:paraId="73C04082" w14:textId="77777777" w:rsidR="004905C9" w:rsidRPr="00D85A79" w:rsidRDefault="004905C9" w:rsidP="00883778">
                  <w:pPr>
                    <w:widowControl/>
                    <w:jc w:val="center"/>
                    <w:rPr>
                      <w:rFonts w:eastAsia="等线" w:cs="Arial"/>
                      <w:sz w:val="16"/>
                      <w:szCs w:val="16"/>
                    </w:rPr>
                  </w:pPr>
                  <w:r>
                    <w:rPr>
                      <w:rFonts w:eastAsia="等线" w:cs="Arial"/>
                      <w:sz w:val="16"/>
                      <w:szCs w:val="16"/>
                    </w:rPr>
                    <w:t>2021-08-19</w:t>
                  </w:r>
                </w:p>
              </w:tc>
            </w:tr>
            <w:tr w:rsidR="004905C9" w:rsidRPr="00D85A79" w14:paraId="65B84793" w14:textId="77777777" w:rsidTr="00883778">
              <w:trPr>
                <w:trHeight w:val="308"/>
              </w:trPr>
              <w:tc>
                <w:tcPr>
                  <w:tcW w:w="557" w:type="dxa"/>
                  <w:vMerge/>
                  <w:tcBorders>
                    <w:top w:val="single" w:sz="4" w:space="0" w:color="auto"/>
                    <w:left w:val="nil"/>
                    <w:bottom w:val="single" w:sz="4" w:space="0" w:color="000000"/>
                    <w:right w:val="nil"/>
                  </w:tcBorders>
                  <w:vAlign w:val="center"/>
                </w:tcPr>
                <w:p w14:paraId="59303EC7"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2AE52DDD" w14:textId="77777777" w:rsidR="004905C9" w:rsidRPr="00D85A79" w:rsidRDefault="004905C9" w:rsidP="00883778">
                  <w:pPr>
                    <w:widowControl/>
                    <w:jc w:val="center"/>
                    <w:rPr>
                      <w:rFonts w:eastAsia="等线" w:cs="Arial"/>
                      <w:color w:val="000000"/>
                      <w:kern w:val="0"/>
                      <w:sz w:val="16"/>
                      <w:szCs w:val="16"/>
                    </w:rPr>
                  </w:pPr>
                  <w:proofErr w:type="spellStart"/>
                  <w:r>
                    <w:rPr>
                      <w:rFonts w:eastAsia="等线" w:cs="Arial"/>
                      <w:color w:val="000000"/>
                      <w:sz w:val="16"/>
                      <w:szCs w:val="16"/>
                    </w:rPr>
                    <w:t>Myspic</w:t>
                  </w:r>
                  <w:proofErr w:type="spellEnd"/>
                  <w:r>
                    <w:rPr>
                      <w:rFonts w:ascii="华文楷体" w:eastAsia="华文楷体" w:hAnsi="华文楷体" w:cs="Arial" w:hint="eastAsia"/>
                      <w:color w:val="000000"/>
                      <w:sz w:val="16"/>
                      <w:szCs w:val="16"/>
                    </w:rPr>
                    <w:t>综合钢价指数（点）</w:t>
                  </w:r>
                </w:p>
              </w:tc>
              <w:tc>
                <w:tcPr>
                  <w:tcW w:w="969" w:type="dxa"/>
                  <w:tcBorders>
                    <w:top w:val="nil"/>
                    <w:left w:val="nil"/>
                    <w:bottom w:val="nil"/>
                    <w:right w:val="nil"/>
                  </w:tcBorders>
                  <w:shd w:val="clear" w:color="000000" w:fill="DDEBF7"/>
                  <w:noWrap/>
                  <w:vAlign w:val="center"/>
                </w:tcPr>
                <w:p w14:paraId="351D3B6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200.29 </w:t>
                  </w:r>
                </w:p>
              </w:tc>
              <w:tc>
                <w:tcPr>
                  <w:tcW w:w="852" w:type="dxa"/>
                  <w:tcBorders>
                    <w:top w:val="nil"/>
                    <w:left w:val="nil"/>
                    <w:bottom w:val="nil"/>
                    <w:right w:val="nil"/>
                  </w:tcBorders>
                  <w:shd w:val="clear" w:color="000000" w:fill="E2EFDA"/>
                  <w:noWrap/>
                  <w:vAlign w:val="center"/>
                </w:tcPr>
                <w:p w14:paraId="3D7C6FCD"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-1.68 </w:t>
                  </w:r>
                </w:p>
              </w:tc>
              <w:tc>
                <w:tcPr>
                  <w:tcW w:w="709" w:type="dxa"/>
                  <w:tcBorders>
                    <w:top w:val="nil"/>
                    <w:left w:val="nil"/>
                    <w:bottom w:val="nil"/>
                    <w:right w:val="nil"/>
                  </w:tcBorders>
                  <w:shd w:val="clear" w:color="000000" w:fill="E2EFDA"/>
                  <w:noWrap/>
                  <w:vAlign w:val="center"/>
                </w:tcPr>
                <w:p w14:paraId="69D9EAB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-0.02 </w:t>
                  </w:r>
                </w:p>
              </w:tc>
              <w:tc>
                <w:tcPr>
                  <w:tcW w:w="891" w:type="dxa"/>
                  <w:tcBorders>
                    <w:top w:val="nil"/>
                    <w:left w:val="nil"/>
                    <w:bottom w:val="nil"/>
                    <w:right w:val="nil"/>
                  </w:tcBorders>
                  <w:shd w:val="clear" w:color="000000" w:fill="FDDCD5"/>
                  <w:noWrap/>
                  <w:vAlign w:val="center"/>
                </w:tcPr>
                <w:p w14:paraId="680DF66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2.79 </w:t>
                  </w:r>
                </w:p>
              </w:tc>
              <w:tc>
                <w:tcPr>
                  <w:tcW w:w="1093" w:type="dxa"/>
                  <w:tcBorders>
                    <w:top w:val="nil"/>
                    <w:left w:val="nil"/>
                    <w:bottom w:val="nil"/>
                    <w:right w:val="nil"/>
                  </w:tcBorders>
                  <w:shd w:val="clear" w:color="000000" w:fill="FDDCD5"/>
                  <w:noWrap/>
                  <w:vAlign w:val="center"/>
                </w:tcPr>
                <w:p w14:paraId="7AB370D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42.19 </w:t>
                  </w:r>
                </w:p>
              </w:tc>
              <w:tc>
                <w:tcPr>
                  <w:tcW w:w="1591" w:type="dxa"/>
                  <w:tcBorders>
                    <w:top w:val="nil"/>
                    <w:left w:val="nil"/>
                    <w:bottom w:val="nil"/>
                    <w:right w:val="nil"/>
                  </w:tcBorders>
                  <w:shd w:val="clear" w:color="auto" w:fill="auto"/>
                  <w:noWrap/>
                  <w:vAlign w:val="center"/>
                </w:tcPr>
                <w:p w14:paraId="50FBC4C3" w14:textId="77777777" w:rsidR="004905C9" w:rsidRPr="00D85A79" w:rsidRDefault="004905C9" w:rsidP="00883778">
                  <w:pPr>
                    <w:widowControl/>
                    <w:jc w:val="center"/>
                    <w:rPr>
                      <w:rFonts w:eastAsia="等线" w:cs="Arial"/>
                      <w:sz w:val="16"/>
                      <w:szCs w:val="16"/>
                    </w:rPr>
                  </w:pPr>
                  <w:r>
                    <w:rPr>
                      <w:rFonts w:eastAsia="等线" w:cs="Arial"/>
                      <w:color w:val="000000"/>
                      <w:sz w:val="16"/>
                      <w:szCs w:val="16"/>
                    </w:rPr>
                    <w:t>2021-08-20</w:t>
                  </w:r>
                </w:p>
              </w:tc>
            </w:tr>
            <w:tr w:rsidR="004905C9" w:rsidRPr="00D85A79" w14:paraId="29A1071B" w14:textId="77777777" w:rsidTr="00883778">
              <w:trPr>
                <w:trHeight w:val="308"/>
              </w:trPr>
              <w:tc>
                <w:tcPr>
                  <w:tcW w:w="557" w:type="dxa"/>
                  <w:vMerge/>
                  <w:tcBorders>
                    <w:top w:val="single" w:sz="4" w:space="0" w:color="auto"/>
                    <w:left w:val="nil"/>
                    <w:bottom w:val="single" w:sz="4" w:space="0" w:color="000000"/>
                    <w:right w:val="nil"/>
                  </w:tcBorders>
                  <w:vAlign w:val="center"/>
                </w:tcPr>
                <w:p w14:paraId="699ED154"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0CD1782F"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南华工业品指数（点）</w:t>
                  </w:r>
                </w:p>
              </w:tc>
              <w:tc>
                <w:tcPr>
                  <w:tcW w:w="969" w:type="dxa"/>
                  <w:tcBorders>
                    <w:top w:val="nil"/>
                    <w:left w:val="nil"/>
                    <w:bottom w:val="nil"/>
                    <w:right w:val="nil"/>
                  </w:tcBorders>
                  <w:shd w:val="clear" w:color="000000" w:fill="DDEBF7"/>
                  <w:noWrap/>
                  <w:vAlign w:val="center"/>
                </w:tcPr>
                <w:p w14:paraId="5AFC4F6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3051.12 </w:t>
                  </w:r>
                </w:p>
              </w:tc>
              <w:tc>
                <w:tcPr>
                  <w:tcW w:w="852" w:type="dxa"/>
                  <w:tcBorders>
                    <w:top w:val="nil"/>
                    <w:left w:val="nil"/>
                    <w:bottom w:val="nil"/>
                    <w:right w:val="nil"/>
                  </w:tcBorders>
                  <w:shd w:val="clear" w:color="000000" w:fill="E2EFDA"/>
                  <w:noWrap/>
                  <w:vAlign w:val="center"/>
                </w:tcPr>
                <w:p w14:paraId="1C801D2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-3.48 </w:t>
                  </w:r>
                </w:p>
              </w:tc>
              <w:tc>
                <w:tcPr>
                  <w:tcW w:w="709" w:type="dxa"/>
                  <w:tcBorders>
                    <w:top w:val="nil"/>
                    <w:left w:val="nil"/>
                    <w:bottom w:val="nil"/>
                    <w:right w:val="nil"/>
                  </w:tcBorders>
                  <w:shd w:val="clear" w:color="000000" w:fill="E2EFDA"/>
                  <w:noWrap/>
                  <w:vAlign w:val="center"/>
                </w:tcPr>
                <w:p w14:paraId="79EC4EF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-0.02 </w:t>
                  </w:r>
                </w:p>
              </w:tc>
              <w:tc>
                <w:tcPr>
                  <w:tcW w:w="891" w:type="dxa"/>
                  <w:tcBorders>
                    <w:top w:val="nil"/>
                    <w:left w:val="nil"/>
                    <w:bottom w:val="nil"/>
                    <w:right w:val="nil"/>
                  </w:tcBorders>
                  <w:shd w:val="clear" w:color="000000" w:fill="E2EFDA"/>
                  <w:noWrap/>
                  <w:vAlign w:val="center"/>
                </w:tcPr>
                <w:p w14:paraId="799E511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-0.39 </w:t>
                  </w:r>
                </w:p>
              </w:tc>
              <w:tc>
                <w:tcPr>
                  <w:tcW w:w="1093" w:type="dxa"/>
                  <w:tcBorders>
                    <w:top w:val="nil"/>
                    <w:left w:val="nil"/>
                    <w:bottom w:val="nil"/>
                    <w:right w:val="nil"/>
                  </w:tcBorders>
                  <w:shd w:val="clear" w:color="000000" w:fill="FDDCD5"/>
                  <w:noWrap/>
                  <w:vAlign w:val="center"/>
                </w:tcPr>
                <w:p w14:paraId="4999C6D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38.16 </w:t>
                  </w:r>
                </w:p>
              </w:tc>
              <w:tc>
                <w:tcPr>
                  <w:tcW w:w="1591" w:type="dxa"/>
                  <w:tcBorders>
                    <w:top w:val="nil"/>
                    <w:left w:val="nil"/>
                    <w:bottom w:val="nil"/>
                    <w:right w:val="nil"/>
                  </w:tcBorders>
                  <w:shd w:val="clear" w:color="auto" w:fill="auto"/>
                  <w:noWrap/>
                  <w:vAlign w:val="center"/>
                </w:tcPr>
                <w:p w14:paraId="2B6DAD60" w14:textId="77777777" w:rsidR="004905C9" w:rsidRPr="00D85A79" w:rsidRDefault="004905C9" w:rsidP="00883778">
                  <w:pPr>
                    <w:widowControl/>
                    <w:jc w:val="center"/>
                    <w:rPr>
                      <w:rFonts w:eastAsia="等线" w:cs="Arial"/>
                      <w:sz w:val="16"/>
                      <w:szCs w:val="16"/>
                    </w:rPr>
                  </w:pPr>
                  <w:r>
                    <w:rPr>
                      <w:rFonts w:eastAsia="等线" w:cs="Arial"/>
                      <w:color w:val="000000"/>
                      <w:sz w:val="16"/>
                      <w:szCs w:val="16"/>
                    </w:rPr>
                    <w:t>2021-08-20</w:t>
                  </w:r>
                </w:p>
              </w:tc>
            </w:tr>
            <w:tr w:rsidR="004905C9" w:rsidRPr="00D85A79" w14:paraId="4D5DB645" w14:textId="77777777" w:rsidTr="00883778">
              <w:trPr>
                <w:trHeight w:val="162"/>
              </w:trPr>
              <w:tc>
                <w:tcPr>
                  <w:tcW w:w="557" w:type="dxa"/>
                  <w:vMerge/>
                  <w:tcBorders>
                    <w:top w:val="single" w:sz="4" w:space="0" w:color="auto"/>
                    <w:left w:val="nil"/>
                    <w:bottom w:val="single" w:sz="4" w:space="0" w:color="000000"/>
                    <w:right w:val="nil"/>
                  </w:tcBorders>
                  <w:vAlign w:val="center"/>
                </w:tcPr>
                <w:p w14:paraId="219A585F"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393D0BE1"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长江有色市场</w:t>
                  </w:r>
                  <w:r>
                    <w:rPr>
                      <w:rFonts w:eastAsia="华文楷体" w:cs="Arial"/>
                      <w:color w:val="000000"/>
                      <w:sz w:val="16"/>
                      <w:szCs w:val="16"/>
                    </w:rPr>
                    <w:t>:</w:t>
                  </w:r>
                  <w:r>
                    <w:rPr>
                      <w:rFonts w:ascii="华文楷体" w:eastAsia="华文楷体" w:hAnsi="华文楷体" w:hint="eastAsia"/>
                      <w:color w:val="000000"/>
                      <w:sz w:val="16"/>
                      <w:szCs w:val="16"/>
                    </w:rPr>
                    <w:t>平均价</w:t>
                  </w:r>
                  <w:r>
                    <w:rPr>
                      <w:rFonts w:eastAsia="华文楷体" w:cs="Arial"/>
                      <w:color w:val="000000"/>
                      <w:sz w:val="16"/>
                      <w:szCs w:val="16"/>
                    </w:rPr>
                    <w:t>:</w:t>
                  </w:r>
                  <w:r>
                    <w:rPr>
                      <w:rFonts w:ascii="华文楷体" w:eastAsia="华文楷体" w:hAnsi="华文楷体" w:hint="eastAsia"/>
                      <w:color w:val="000000"/>
                      <w:sz w:val="16"/>
                      <w:szCs w:val="16"/>
                    </w:rPr>
                    <w:t>铜</w:t>
                  </w:r>
                  <w:r>
                    <w:rPr>
                      <w:rFonts w:eastAsia="华文楷体" w:cs="Arial"/>
                      <w:color w:val="000000"/>
                      <w:sz w:val="16"/>
                      <w:szCs w:val="16"/>
                    </w:rPr>
                    <w:t>:1#</w:t>
                  </w:r>
                  <w:r>
                    <w:rPr>
                      <w:rFonts w:ascii="华文楷体" w:eastAsia="华文楷体" w:hAnsi="华文楷体" w:hint="eastAsia"/>
                      <w:color w:val="000000"/>
                      <w:sz w:val="16"/>
                      <w:szCs w:val="16"/>
                    </w:rPr>
                    <w:t>（元</w:t>
                  </w:r>
                  <w:r>
                    <w:rPr>
                      <w:rFonts w:eastAsia="华文楷体" w:cs="Arial"/>
                      <w:color w:val="000000"/>
                      <w:sz w:val="16"/>
                      <w:szCs w:val="16"/>
                    </w:rPr>
                    <w:t>/</w:t>
                  </w:r>
                  <w:r>
                    <w:rPr>
                      <w:rFonts w:ascii="华文楷体" w:eastAsia="华文楷体" w:hAnsi="华文楷体" w:hint="eastAsia"/>
                      <w:color w:val="000000"/>
                      <w:sz w:val="16"/>
                      <w:szCs w:val="16"/>
                    </w:rPr>
                    <w:t>吨）</w:t>
                  </w:r>
                </w:p>
              </w:tc>
              <w:tc>
                <w:tcPr>
                  <w:tcW w:w="969" w:type="dxa"/>
                  <w:tcBorders>
                    <w:top w:val="nil"/>
                    <w:left w:val="nil"/>
                    <w:bottom w:val="nil"/>
                    <w:right w:val="nil"/>
                  </w:tcBorders>
                  <w:shd w:val="clear" w:color="000000" w:fill="DDEBF7"/>
                  <w:noWrap/>
                  <w:vAlign w:val="center"/>
                </w:tcPr>
                <w:p w14:paraId="75FD88A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67360.00 </w:t>
                  </w:r>
                </w:p>
              </w:tc>
              <w:tc>
                <w:tcPr>
                  <w:tcW w:w="852" w:type="dxa"/>
                  <w:tcBorders>
                    <w:top w:val="nil"/>
                    <w:left w:val="nil"/>
                    <w:bottom w:val="nil"/>
                    <w:right w:val="nil"/>
                  </w:tcBorders>
                  <w:shd w:val="clear" w:color="000000" w:fill="E2EFDA"/>
                  <w:noWrap/>
                  <w:vAlign w:val="center"/>
                </w:tcPr>
                <w:p w14:paraId="1A6F9D2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-4.22 </w:t>
                  </w:r>
                </w:p>
              </w:tc>
              <w:tc>
                <w:tcPr>
                  <w:tcW w:w="709" w:type="dxa"/>
                  <w:tcBorders>
                    <w:top w:val="nil"/>
                    <w:left w:val="nil"/>
                    <w:bottom w:val="nil"/>
                    <w:right w:val="nil"/>
                  </w:tcBorders>
                  <w:shd w:val="clear" w:color="000000" w:fill="FDDCD5"/>
                  <w:noWrap/>
                  <w:vAlign w:val="center"/>
                </w:tcPr>
                <w:p w14:paraId="46EC7CA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0.72 </w:t>
                  </w:r>
                </w:p>
              </w:tc>
              <w:tc>
                <w:tcPr>
                  <w:tcW w:w="891" w:type="dxa"/>
                  <w:tcBorders>
                    <w:top w:val="nil"/>
                    <w:left w:val="nil"/>
                    <w:bottom w:val="nil"/>
                    <w:right w:val="nil"/>
                  </w:tcBorders>
                  <w:shd w:val="clear" w:color="000000" w:fill="FDDCD5"/>
                  <w:noWrap/>
                  <w:vAlign w:val="center"/>
                </w:tcPr>
                <w:p w14:paraId="797778F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1.29 </w:t>
                  </w:r>
                </w:p>
              </w:tc>
              <w:tc>
                <w:tcPr>
                  <w:tcW w:w="1093" w:type="dxa"/>
                  <w:tcBorders>
                    <w:top w:val="nil"/>
                    <w:left w:val="nil"/>
                    <w:bottom w:val="nil"/>
                    <w:right w:val="nil"/>
                  </w:tcBorders>
                  <w:shd w:val="clear" w:color="000000" w:fill="FDDCD5"/>
                  <w:noWrap/>
                  <w:vAlign w:val="center"/>
                </w:tcPr>
                <w:p w14:paraId="7769B66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36.76 </w:t>
                  </w:r>
                </w:p>
              </w:tc>
              <w:tc>
                <w:tcPr>
                  <w:tcW w:w="1591" w:type="dxa"/>
                  <w:tcBorders>
                    <w:top w:val="nil"/>
                    <w:left w:val="nil"/>
                    <w:bottom w:val="nil"/>
                    <w:right w:val="nil"/>
                  </w:tcBorders>
                  <w:shd w:val="clear" w:color="auto" w:fill="auto"/>
                  <w:noWrap/>
                  <w:vAlign w:val="center"/>
                </w:tcPr>
                <w:p w14:paraId="2D87CA04" w14:textId="77777777" w:rsidR="004905C9" w:rsidRPr="00D85A79" w:rsidRDefault="004905C9" w:rsidP="00883778">
                  <w:pPr>
                    <w:widowControl/>
                    <w:jc w:val="center"/>
                    <w:rPr>
                      <w:rFonts w:eastAsia="等线" w:cs="Arial"/>
                      <w:sz w:val="16"/>
                      <w:szCs w:val="16"/>
                    </w:rPr>
                  </w:pPr>
                  <w:r>
                    <w:rPr>
                      <w:rFonts w:eastAsia="等线" w:cs="Arial"/>
                      <w:color w:val="000000"/>
                      <w:sz w:val="16"/>
                      <w:szCs w:val="16"/>
                    </w:rPr>
                    <w:t>2021-08-20</w:t>
                  </w:r>
                </w:p>
              </w:tc>
            </w:tr>
            <w:tr w:rsidR="004905C9" w:rsidRPr="00D85A79" w14:paraId="039E154C" w14:textId="77777777" w:rsidTr="00883778">
              <w:trPr>
                <w:trHeight w:val="308"/>
              </w:trPr>
              <w:tc>
                <w:tcPr>
                  <w:tcW w:w="557" w:type="dxa"/>
                  <w:vMerge/>
                  <w:tcBorders>
                    <w:top w:val="single" w:sz="4" w:space="0" w:color="auto"/>
                    <w:left w:val="nil"/>
                    <w:bottom w:val="single" w:sz="4" w:space="0" w:color="000000"/>
                    <w:right w:val="nil"/>
                  </w:tcBorders>
                  <w:vAlign w:val="center"/>
                </w:tcPr>
                <w:p w14:paraId="1F266576"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1F0F2507"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长江有色市场</w:t>
                  </w:r>
                  <w:r>
                    <w:rPr>
                      <w:rFonts w:eastAsia="华文楷体" w:cs="Arial"/>
                      <w:color w:val="000000"/>
                      <w:sz w:val="16"/>
                      <w:szCs w:val="16"/>
                    </w:rPr>
                    <w:t>:</w:t>
                  </w:r>
                  <w:r>
                    <w:rPr>
                      <w:rFonts w:ascii="华文楷体" w:eastAsia="华文楷体" w:hAnsi="华文楷体" w:hint="eastAsia"/>
                      <w:color w:val="000000"/>
                      <w:sz w:val="16"/>
                      <w:szCs w:val="16"/>
                    </w:rPr>
                    <w:t>平均价</w:t>
                  </w:r>
                  <w:r>
                    <w:rPr>
                      <w:rFonts w:eastAsia="华文楷体" w:cs="Arial"/>
                      <w:color w:val="000000"/>
                      <w:sz w:val="16"/>
                      <w:szCs w:val="16"/>
                    </w:rPr>
                    <w:t>:</w:t>
                  </w:r>
                  <w:r>
                    <w:rPr>
                      <w:rFonts w:ascii="华文楷体" w:eastAsia="华文楷体" w:hAnsi="华文楷体" w:hint="eastAsia"/>
                      <w:color w:val="000000"/>
                      <w:sz w:val="16"/>
                      <w:szCs w:val="16"/>
                    </w:rPr>
                    <w:t>铝</w:t>
                  </w:r>
                  <w:r>
                    <w:rPr>
                      <w:rFonts w:eastAsia="华文楷体" w:cs="Arial"/>
                      <w:color w:val="000000"/>
                      <w:sz w:val="16"/>
                      <w:szCs w:val="16"/>
                    </w:rPr>
                    <w:t>:A00</w:t>
                  </w:r>
                  <w:r>
                    <w:rPr>
                      <w:rFonts w:ascii="华文楷体" w:eastAsia="华文楷体" w:hAnsi="华文楷体" w:hint="eastAsia"/>
                      <w:color w:val="000000"/>
                      <w:sz w:val="16"/>
                      <w:szCs w:val="16"/>
                    </w:rPr>
                    <w:t>（元</w:t>
                  </w:r>
                  <w:r>
                    <w:rPr>
                      <w:rFonts w:eastAsia="华文楷体" w:cs="Arial"/>
                      <w:color w:val="000000"/>
                      <w:sz w:val="16"/>
                      <w:szCs w:val="16"/>
                    </w:rPr>
                    <w:t>/</w:t>
                  </w:r>
                  <w:r>
                    <w:rPr>
                      <w:rFonts w:ascii="华文楷体" w:eastAsia="华文楷体" w:hAnsi="华文楷体" w:hint="eastAsia"/>
                      <w:color w:val="000000"/>
                      <w:sz w:val="16"/>
                      <w:szCs w:val="16"/>
                    </w:rPr>
                    <w:t>吨）</w:t>
                  </w:r>
                </w:p>
              </w:tc>
              <w:tc>
                <w:tcPr>
                  <w:tcW w:w="969" w:type="dxa"/>
                  <w:tcBorders>
                    <w:top w:val="nil"/>
                    <w:left w:val="nil"/>
                    <w:bottom w:val="nil"/>
                    <w:right w:val="nil"/>
                  </w:tcBorders>
                  <w:shd w:val="clear" w:color="000000" w:fill="DDEBF7"/>
                  <w:noWrap/>
                  <w:vAlign w:val="center"/>
                </w:tcPr>
                <w:p w14:paraId="230C4A1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20100.00 </w:t>
                  </w:r>
                </w:p>
              </w:tc>
              <w:tc>
                <w:tcPr>
                  <w:tcW w:w="852" w:type="dxa"/>
                  <w:tcBorders>
                    <w:top w:val="nil"/>
                    <w:left w:val="nil"/>
                    <w:bottom w:val="nil"/>
                    <w:right w:val="nil"/>
                  </w:tcBorders>
                  <w:shd w:val="clear" w:color="000000" w:fill="FDDCD5"/>
                  <w:noWrap/>
                  <w:vAlign w:val="center"/>
                </w:tcPr>
                <w:p w14:paraId="2984532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0.30 </w:t>
                  </w:r>
                </w:p>
              </w:tc>
              <w:tc>
                <w:tcPr>
                  <w:tcW w:w="709" w:type="dxa"/>
                  <w:tcBorders>
                    <w:top w:val="nil"/>
                    <w:left w:val="nil"/>
                    <w:bottom w:val="nil"/>
                    <w:right w:val="nil"/>
                  </w:tcBorders>
                  <w:shd w:val="clear" w:color="000000" w:fill="FDDCD5"/>
                  <w:noWrap/>
                  <w:vAlign w:val="center"/>
                </w:tcPr>
                <w:p w14:paraId="54774C2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0.60 </w:t>
                  </w:r>
                </w:p>
              </w:tc>
              <w:tc>
                <w:tcPr>
                  <w:tcW w:w="891" w:type="dxa"/>
                  <w:tcBorders>
                    <w:top w:val="nil"/>
                    <w:left w:val="nil"/>
                    <w:bottom w:val="nil"/>
                    <w:right w:val="nil"/>
                  </w:tcBorders>
                  <w:shd w:val="clear" w:color="000000" w:fill="FDDCD5"/>
                  <w:noWrap/>
                  <w:vAlign w:val="center"/>
                </w:tcPr>
                <w:p w14:paraId="7FB20C9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5.02 </w:t>
                  </w:r>
                </w:p>
              </w:tc>
              <w:tc>
                <w:tcPr>
                  <w:tcW w:w="1093" w:type="dxa"/>
                  <w:tcBorders>
                    <w:top w:val="nil"/>
                    <w:left w:val="nil"/>
                    <w:bottom w:val="nil"/>
                    <w:right w:val="nil"/>
                  </w:tcBorders>
                  <w:shd w:val="clear" w:color="000000" w:fill="FDDCD5"/>
                  <w:noWrap/>
                  <w:vAlign w:val="center"/>
                </w:tcPr>
                <w:p w14:paraId="6C9B2B6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36.36 </w:t>
                  </w:r>
                </w:p>
              </w:tc>
              <w:tc>
                <w:tcPr>
                  <w:tcW w:w="1591" w:type="dxa"/>
                  <w:tcBorders>
                    <w:top w:val="nil"/>
                    <w:left w:val="nil"/>
                    <w:bottom w:val="nil"/>
                    <w:right w:val="nil"/>
                  </w:tcBorders>
                  <w:shd w:val="clear" w:color="auto" w:fill="auto"/>
                  <w:noWrap/>
                  <w:vAlign w:val="center"/>
                </w:tcPr>
                <w:p w14:paraId="17DC9072" w14:textId="77777777" w:rsidR="004905C9" w:rsidRPr="00D85A79" w:rsidRDefault="004905C9" w:rsidP="00883778">
                  <w:pPr>
                    <w:widowControl/>
                    <w:jc w:val="center"/>
                    <w:rPr>
                      <w:rFonts w:eastAsia="等线" w:cs="Arial"/>
                      <w:sz w:val="16"/>
                      <w:szCs w:val="16"/>
                    </w:rPr>
                  </w:pPr>
                  <w:r>
                    <w:rPr>
                      <w:rFonts w:eastAsia="等线" w:cs="Arial"/>
                      <w:color w:val="000000"/>
                      <w:sz w:val="16"/>
                      <w:szCs w:val="16"/>
                    </w:rPr>
                    <w:t>2021-08-20</w:t>
                  </w:r>
                </w:p>
              </w:tc>
            </w:tr>
            <w:tr w:rsidR="004905C9" w:rsidRPr="00D85A79" w14:paraId="11497436" w14:textId="77777777" w:rsidTr="00883778">
              <w:trPr>
                <w:trHeight w:val="308"/>
              </w:trPr>
              <w:tc>
                <w:tcPr>
                  <w:tcW w:w="557" w:type="dxa"/>
                  <w:vMerge/>
                  <w:tcBorders>
                    <w:top w:val="single" w:sz="4" w:space="0" w:color="auto"/>
                    <w:left w:val="nil"/>
                    <w:bottom w:val="single" w:sz="4" w:space="0" w:color="000000"/>
                    <w:right w:val="nil"/>
                  </w:tcBorders>
                  <w:vAlign w:val="center"/>
                </w:tcPr>
                <w:p w14:paraId="62A3BAB5"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3E3E9123"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价格</w:t>
                  </w:r>
                  <w:r>
                    <w:rPr>
                      <w:rFonts w:eastAsia="华文楷体" w:cs="Arial"/>
                      <w:color w:val="000000"/>
                      <w:sz w:val="16"/>
                      <w:szCs w:val="16"/>
                    </w:rPr>
                    <w:t>:</w:t>
                  </w:r>
                  <w:r>
                    <w:rPr>
                      <w:rFonts w:ascii="华文楷体" w:eastAsia="华文楷体" w:hAnsi="华文楷体" w:hint="eastAsia"/>
                      <w:color w:val="000000"/>
                      <w:sz w:val="16"/>
                      <w:szCs w:val="16"/>
                    </w:rPr>
                    <w:t>螺纹钢</w:t>
                  </w:r>
                  <w:r>
                    <w:rPr>
                      <w:rFonts w:eastAsia="华文楷体" w:cs="Arial"/>
                      <w:color w:val="000000"/>
                      <w:sz w:val="16"/>
                      <w:szCs w:val="16"/>
                    </w:rPr>
                    <w:t>:HRB400 20mm:</w:t>
                  </w:r>
                  <w:r>
                    <w:rPr>
                      <w:rFonts w:ascii="华文楷体" w:eastAsia="华文楷体" w:hAnsi="华文楷体" w:hint="eastAsia"/>
                      <w:color w:val="000000"/>
                      <w:sz w:val="16"/>
                      <w:szCs w:val="16"/>
                    </w:rPr>
                    <w:t>全国（元</w:t>
                  </w:r>
                  <w:r>
                    <w:rPr>
                      <w:rFonts w:eastAsia="华文楷体" w:cs="Arial"/>
                      <w:color w:val="000000"/>
                      <w:sz w:val="16"/>
                      <w:szCs w:val="16"/>
                    </w:rPr>
                    <w:t>/</w:t>
                  </w:r>
                  <w:r>
                    <w:rPr>
                      <w:rFonts w:ascii="华文楷体" w:eastAsia="华文楷体" w:hAnsi="华文楷体" w:hint="eastAsia"/>
                      <w:color w:val="000000"/>
                      <w:sz w:val="16"/>
                      <w:szCs w:val="16"/>
                    </w:rPr>
                    <w:t>吨）</w:t>
                  </w:r>
                </w:p>
              </w:tc>
              <w:tc>
                <w:tcPr>
                  <w:tcW w:w="969" w:type="dxa"/>
                  <w:tcBorders>
                    <w:top w:val="nil"/>
                    <w:left w:val="nil"/>
                    <w:bottom w:val="nil"/>
                    <w:right w:val="nil"/>
                  </w:tcBorders>
                  <w:shd w:val="clear" w:color="000000" w:fill="DDEBF7"/>
                  <w:noWrap/>
                  <w:vAlign w:val="center"/>
                </w:tcPr>
                <w:p w14:paraId="0152CE5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5238.00 </w:t>
                  </w:r>
                </w:p>
              </w:tc>
              <w:tc>
                <w:tcPr>
                  <w:tcW w:w="852" w:type="dxa"/>
                  <w:tcBorders>
                    <w:top w:val="nil"/>
                    <w:left w:val="nil"/>
                    <w:bottom w:val="nil"/>
                    <w:right w:val="nil"/>
                  </w:tcBorders>
                  <w:shd w:val="clear" w:color="000000" w:fill="E2EFDA"/>
                  <w:noWrap/>
                  <w:vAlign w:val="center"/>
                </w:tcPr>
                <w:p w14:paraId="60C1FB2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-2.29 </w:t>
                  </w:r>
                </w:p>
              </w:tc>
              <w:tc>
                <w:tcPr>
                  <w:tcW w:w="709" w:type="dxa"/>
                  <w:tcBorders>
                    <w:top w:val="nil"/>
                    <w:left w:val="nil"/>
                    <w:bottom w:val="nil"/>
                    <w:right w:val="nil"/>
                  </w:tcBorders>
                  <w:shd w:val="clear" w:color="000000" w:fill="FDDCD5"/>
                  <w:noWrap/>
                  <w:vAlign w:val="center"/>
                </w:tcPr>
                <w:p w14:paraId="0CCBE49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0.21 </w:t>
                  </w:r>
                </w:p>
              </w:tc>
              <w:tc>
                <w:tcPr>
                  <w:tcW w:w="891" w:type="dxa"/>
                  <w:tcBorders>
                    <w:top w:val="nil"/>
                    <w:left w:val="nil"/>
                    <w:bottom w:val="nil"/>
                    <w:right w:val="nil"/>
                  </w:tcBorders>
                  <w:shd w:val="clear" w:color="000000" w:fill="FDDCD5"/>
                  <w:noWrap/>
                  <w:vAlign w:val="center"/>
                </w:tcPr>
                <w:p w14:paraId="050CBA9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3.77 </w:t>
                  </w:r>
                </w:p>
              </w:tc>
              <w:tc>
                <w:tcPr>
                  <w:tcW w:w="1093" w:type="dxa"/>
                  <w:tcBorders>
                    <w:top w:val="nil"/>
                    <w:left w:val="nil"/>
                    <w:bottom w:val="nil"/>
                    <w:right w:val="nil"/>
                  </w:tcBorders>
                  <w:shd w:val="clear" w:color="000000" w:fill="FDDCD5"/>
                  <w:noWrap/>
                  <w:vAlign w:val="center"/>
                </w:tcPr>
                <w:p w14:paraId="545DF403"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38.72 </w:t>
                  </w:r>
                </w:p>
              </w:tc>
              <w:tc>
                <w:tcPr>
                  <w:tcW w:w="1591" w:type="dxa"/>
                  <w:tcBorders>
                    <w:top w:val="nil"/>
                    <w:left w:val="nil"/>
                    <w:bottom w:val="nil"/>
                    <w:right w:val="nil"/>
                  </w:tcBorders>
                  <w:shd w:val="clear" w:color="auto" w:fill="auto"/>
                  <w:noWrap/>
                  <w:vAlign w:val="center"/>
                </w:tcPr>
                <w:p w14:paraId="3366FECB" w14:textId="77777777" w:rsidR="004905C9" w:rsidRPr="00D85A79" w:rsidRDefault="004905C9" w:rsidP="00883778">
                  <w:pPr>
                    <w:widowControl/>
                    <w:jc w:val="center"/>
                    <w:rPr>
                      <w:rFonts w:eastAsia="等线" w:cs="Arial"/>
                      <w:sz w:val="16"/>
                      <w:szCs w:val="16"/>
                    </w:rPr>
                  </w:pPr>
                  <w:r>
                    <w:rPr>
                      <w:rFonts w:eastAsia="等线" w:cs="Arial"/>
                      <w:sz w:val="16"/>
                      <w:szCs w:val="16"/>
                    </w:rPr>
                    <w:t>2021-08-20</w:t>
                  </w:r>
                </w:p>
              </w:tc>
            </w:tr>
            <w:tr w:rsidR="004905C9" w:rsidRPr="00D85A79" w14:paraId="2BF95897" w14:textId="77777777" w:rsidTr="00883778">
              <w:trPr>
                <w:trHeight w:val="308"/>
              </w:trPr>
              <w:tc>
                <w:tcPr>
                  <w:tcW w:w="557" w:type="dxa"/>
                  <w:vMerge/>
                  <w:tcBorders>
                    <w:top w:val="single" w:sz="4" w:space="0" w:color="auto"/>
                    <w:left w:val="nil"/>
                    <w:bottom w:val="single" w:sz="4" w:space="0" w:color="000000"/>
                    <w:right w:val="nil"/>
                  </w:tcBorders>
                  <w:vAlign w:val="center"/>
                </w:tcPr>
                <w:p w14:paraId="49FBF383"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61B9D5C2" w14:textId="77777777" w:rsidR="004905C9" w:rsidRPr="004C3065"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sz w:val="16"/>
                      <w:szCs w:val="16"/>
                    </w:rPr>
                    <w:t>价格指数</w:t>
                  </w:r>
                  <w:r>
                    <w:rPr>
                      <w:rFonts w:eastAsia="华文楷体" w:cs="Arial"/>
                      <w:sz w:val="16"/>
                      <w:szCs w:val="16"/>
                    </w:rPr>
                    <w:t>:</w:t>
                  </w:r>
                  <w:r>
                    <w:rPr>
                      <w:rFonts w:ascii="华文楷体" w:eastAsia="华文楷体" w:hAnsi="华文楷体" w:hint="eastAsia"/>
                      <w:sz w:val="16"/>
                      <w:szCs w:val="16"/>
                    </w:rPr>
                    <w:t>铁矿石</w:t>
                  </w:r>
                  <w:r>
                    <w:rPr>
                      <w:rFonts w:eastAsia="华文楷体" w:cs="Arial"/>
                      <w:sz w:val="16"/>
                      <w:szCs w:val="16"/>
                    </w:rPr>
                    <w:t>:</w:t>
                  </w:r>
                  <w:r>
                    <w:rPr>
                      <w:rFonts w:ascii="华文楷体" w:eastAsia="华文楷体" w:hAnsi="华文楷体" w:hint="eastAsia"/>
                      <w:sz w:val="16"/>
                      <w:szCs w:val="16"/>
                    </w:rPr>
                    <w:t>国产矿（点）</w:t>
                  </w:r>
                </w:p>
              </w:tc>
              <w:tc>
                <w:tcPr>
                  <w:tcW w:w="969" w:type="dxa"/>
                  <w:tcBorders>
                    <w:top w:val="nil"/>
                    <w:left w:val="nil"/>
                    <w:bottom w:val="nil"/>
                    <w:right w:val="nil"/>
                  </w:tcBorders>
                  <w:shd w:val="clear" w:color="000000" w:fill="DDEBF7"/>
                  <w:noWrap/>
                  <w:vAlign w:val="center"/>
                </w:tcPr>
                <w:p w14:paraId="314A664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541.01 </w:t>
                  </w:r>
                </w:p>
              </w:tc>
              <w:tc>
                <w:tcPr>
                  <w:tcW w:w="852" w:type="dxa"/>
                  <w:tcBorders>
                    <w:top w:val="nil"/>
                    <w:left w:val="nil"/>
                    <w:bottom w:val="nil"/>
                    <w:right w:val="nil"/>
                  </w:tcBorders>
                  <w:shd w:val="clear" w:color="000000" w:fill="E2EFDA"/>
                  <w:noWrap/>
                  <w:vAlign w:val="center"/>
                </w:tcPr>
                <w:p w14:paraId="0E422309" w14:textId="77777777" w:rsidR="004905C9" w:rsidRPr="004C3065" w:rsidRDefault="004905C9" w:rsidP="00883778">
                  <w:pPr>
                    <w:widowControl/>
                    <w:jc w:val="center"/>
                    <w:rPr>
                      <w:rFonts w:eastAsia="等线" w:cs="Arial"/>
                      <w:color w:val="000000"/>
                      <w:sz w:val="16"/>
                      <w:szCs w:val="16"/>
                    </w:rPr>
                  </w:pPr>
                  <w:r>
                    <w:rPr>
                      <w:rFonts w:eastAsia="等线" w:cs="Arial"/>
                      <w:color w:val="000000"/>
                      <w:sz w:val="16"/>
                      <w:szCs w:val="16"/>
                    </w:rPr>
                    <w:t xml:space="preserve">-2.92 </w:t>
                  </w:r>
                </w:p>
              </w:tc>
              <w:tc>
                <w:tcPr>
                  <w:tcW w:w="709" w:type="dxa"/>
                  <w:tcBorders>
                    <w:top w:val="nil"/>
                    <w:left w:val="nil"/>
                    <w:bottom w:val="nil"/>
                    <w:right w:val="nil"/>
                  </w:tcBorders>
                  <w:shd w:val="clear" w:color="000000" w:fill="E2EFDA"/>
                  <w:noWrap/>
                  <w:vAlign w:val="center"/>
                </w:tcPr>
                <w:p w14:paraId="1A46CC11" w14:textId="77777777" w:rsidR="004905C9" w:rsidRPr="004C3065" w:rsidRDefault="004905C9" w:rsidP="00883778">
                  <w:pPr>
                    <w:widowControl/>
                    <w:jc w:val="center"/>
                    <w:rPr>
                      <w:rFonts w:eastAsia="等线" w:cs="Arial"/>
                      <w:color w:val="000000"/>
                      <w:sz w:val="16"/>
                      <w:szCs w:val="16"/>
                    </w:rPr>
                  </w:pPr>
                  <w:r>
                    <w:rPr>
                      <w:rFonts w:eastAsia="等线" w:cs="Arial"/>
                      <w:color w:val="000000"/>
                      <w:sz w:val="16"/>
                      <w:szCs w:val="16"/>
                    </w:rPr>
                    <w:t xml:space="preserve">-5.06 </w:t>
                  </w:r>
                </w:p>
              </w:tc>
              <w:tc>
                <w:tcPr>
                  <w:tcW w:w="891" w:type="dxa"/>
                  <w:tcBorders>
                    <w:top w:val="nil"/>
                    <w:left w:val="nil"/>
                    <w:bottom w:val="nil"/>
                    <w:right w:val="nil"/>
                  </w:tcBorders>
                  <w:shd w:val="clear" w:color="000000" w:fill="E2EFDA"/>
                  <w:noWrap/>
                  <w:vAlign w:val="center"/>
                </w:tcPr>
                <w:p w14:paraId="290F59B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-6.00 </w:t>
                  </w:r>
                </w:p>
              </w:tc>
              <w:tc>
                <w:tcPr>
                  <w:tcW w:w="1093" w:type="dxa"/>
                  <w:tcBorders>
                    <w:top w:val="nil"/>
                    <w:left w:val="nil"/>
                    <w:bottom w:val="nil"/>
                    <w:right w:val="nil"/>
                  </w:tcBorders>
                  <w:shd w:val="clear" w:color="000000" w:fill="FDDCD5"/>
                  <w:noWrap/>
                  <w:vAlign w:val="center"/>
                </w:tcPr>
                <w:p w14:paraId="4CF12AB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55.52 </w:t>
                  </w:r>
                </w:p>
              </w:tc>
              <w:tc>
                <w:tcPr>
                  <w:tcW w:w="1591" w:type="dxa"/>
                  <w:tcBorders>
                    <w:top w:val="nil"/>
                    <w:left w:val="nil"/>
                    <w:bottom w:val="nil"/>
                    <w:right w:val="nil"/>
                  </w:tcBorders>
                  <w:shd w:val="clear" w:color="auto" w:fill="auto"/>
                  <w:noWrap/>
                  <w:vAlign w:val="center"/>
                </w:tcPr>
                <w:p w14:paraId="5B000CD6" w14:textId="77777777" w:rsidR="004905C9" w:rsidRPr="00D85A79" w:rsidRDefault="004905C9" w:rsidP="00883778">
                  <w:pPr>
                    <w:widowControl/>
                    <w:jc w:val="center"/>
                    <w:rPr>
                      <w:rFonts w:eastAsia="等线" w:cs="Arial"/>
                      <w:sz w:val="16"/>
                      <w:szCs w:val="16"/>
                    </w:rPr>
                  </w:pPr>
                  <w:r>
                    <w:rPr>
                      <w:rFonts w:eastAsia="等线" w:cs="Arial"/>
                      <w:sz w:val="16"/>
                      <w:szCs w:val="16"/>
                    </w:rPr>
                    <w:t>2021-08-19</w:t>
                  </w:r>
                </w:p>
              </w:tc>
            </w:tr>
            <w:tr w:rsidR="004905C9" w:rsidRPr="00D85A79" w14:paraId="2F9FB39D" w14:textId="77777777" w:rsidTr="00883778">
              <w:trPr>
                <w:trHeight w:val="308"/>
              </w:trPr>
              <w:tc>
                <w:tcPr>
                  <w:tcW w:w="557" w:type="dxa"/>
                  <w:vMerge/>
                  <w:tcBorders>
                    <w:top w:val="single" w:sz="4" w:space="0" w:color="auto"/>
                    <w:left w:val="nil"/>
                    <w:bottom w:val="single" w:sz="4" w:space="0" w:color="000000"/>
                    <w:right w:val="nil"/>
                  </w:tcBorders>
                  <w:vAlign w:val="center"/>
                </w:tcPr>
                <w:p w14:paraId="17C87372"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0001A70C" w14:textId="77777777" w:rsidR="004905C9" w:rsidRPr="004C3065"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sz w:val="16"/>
                      <w:szCs w:val="16"/>
                    </w:rPr>
                    <w:t>价格指数</w:t>
                  </w:r>
                  <w:r>
                    <w:rPr>
                      <w:rFonts w:eastAsia="华文楷体" w:cs="Arial"/>
                      <w:sz w:val="16"/>
                      <w:szCs w:val="16"/>
                    </w:rPr>
                    <w:t>:</w:t>
                  </w:r>
                  <w:r>
                    <w:rPr>
                      <w:rFonts w:ascii="华文楷体" w:eastAsia="华文楷体" w:hAnsi="华文楷体" w:hint="eastAsia"/>
                      <w:sz w:val="16"/>
                      <w:szCs w:val="16"/>
                    </w:rPr>
                    <w:t>铁矿石</w:t>
                  </w:r>
                  <w:r>
                    <w:rPr>
                      <w:rFonts w:eastAsia="华文楷体" w:cs="Arial"/>
                      <w:sz w:val="16"/>
                      <w:szCs w:val="16"/>
                    </w:rPr>
                    <w:t>:</w:t>
                  </w:r>
                  <w:r>
                    <w:rPr>
                      <w:rFonts w:ascii="华文楷体" w:eastAsia="华文楷体" w:hAnsi="华文楷体" w:hint="eastAsia"/>
                      <w:sz w:val="16"/>
                      <w:szCs w:val="16"/>
                    </w:rPr>
                    <w:t>进口矿（点）</w:t>
                  </w:r>
                </w:p>
              </w:tc>
              <w:tc>
                <w:tcPr>
                  <w:tcW w:w="969" w:type="dxa"/>
                  <w:tcBorders>
                    <w:top w:val="nil"/>
                    <w:left w:val="nil"/>
                    <w:bottom w:val="nil"/>
                    <w:right w:val="nil"/>
                  </w:tcBorders>
                  <w:shd w:val="clear" w:color="000000" w:fill="DDEBF7"/>
                  <w:noWrap/>
                  <w:vAlign w:val="center"/>
                </w:tcPr>
                <w:p w14:paraId="5A72278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496.88 </w:t>
                  </w:r>
                </w:p>
              </w:tc>
              <w:tc>
                <w:tcPr>
                  <w:tcW w:w="852" w:type="dxa"/>
                  <w:tcBorders>
                    <w:top w:val="nil"/>
                    <w:left w:val="nil"/>
                    <w:bottom w:val="nil"/>
                    <w:right w:val="nil"/>
                  </w:tcBorders>
                  <w:shd w:val="clear" w:color="000000" w:fill="E2EFDA"/>
                  <w:noWrap/>
                  <w:vAlign w:val="center"/>
                </w:tcPr>
                <w:p w14:paraId="6863AB1B"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-16.80 </w:t>
                  </w:r>
                </w:p>
              </w:tc>
              <w:tc>
                <w:tcPr>
                  <w:tcW w:w="709" w:type="dxa"/>
                  <w:tcBorders>
                    <w:top w:val="nil"/>
                    <w:left w:val="nil"/>
                    <w:bottom w:val="nil"/>
                    <w:right w:val="nil"/>
                  </w:tcBorders>
                  <w:shd w:val="clear" w:color="000000" w:fill="E2EFDA"/>
                  <w:noWrap/>
                  <w:vAlign w:val="center"/>
                </w:tcPr>
                <w:p w14:paraId="52A8079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-6.19 </w:t>
                  </w:r>
                </w:p>
              </w:tc>
              <w:tc>
                <w:tcPr>
                  <w:tcW w:w="891" w:type="dxa"/>
                  <w:tcBorders>
                    <w:top w:val="nil"/>
                    <w:left w:val="nil"/>
                    <w:bottom w:val="nil"/>
                    <w:right w:val="nil"/>
                  </w:tcBorders>
                  <w:shd w:val="clear" w:color="000000" w:fill="E2EFDA"/>
                  <w:noWrap/>
                  <w:vAlign w:val="center"/>
                </w:tcPr>
                <w:p w14:paraId="133740F0"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-25.36 </w:t>
                  </w:r>
                </w:p>
              </w:tc>
              <w:tc>
                <w:tcPr>
                  <w:tcW w:w="1093" w:type="dxa"/>
                  <w:tcBorders>
                    <w:top w:val="nil"/>
                    <w:left w:val="nil"/>
                    <w:bottom w:val="nil"/>
                    <w:right w:val="nil"/>
                  </w:tcBorders>
                  <w:shd w:val="clear" w:color="000000" w:fill="FDDCD5"/>
                  <w:noWrap/>
                  <w:vAlign w:val="center"/>
                </w:tcPr>
                <w:p w14:paraId="49C2E2F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37.30 </w:t>
                  </w:r>
                </w:p>
              </w:tc>
              <w:tc>
                <w:tcPr>
                  <w:tcW w:w="1591" w:type="dxa"/>
                  <w:tcBorders>
                    <w:top w:val="nil"/>
                    <w:left w:val="nil"/>
                    <w:bottom w:val="nil"/>
                    <w:right w:val="nil"/>
                  </w:tcBorders>
                  <w:shd w:val="clear" w:color="auto" w:fill="auto"/>
                  <w:noWrap/>
                  <w:vAlign w:val="center"/>
                </w:tcPr>
                <w:p w14:paraId="54893AC0" w14:textId="77777777" w:rsidR="004905C9" w:rsidRPr="00D85A79" w:rsidRDefault="004905C9" w:rsidP="00883778">
                  <w:pPr>
                    <w:widowControl/>
                    <w:jc w:val="center"/>
                    <w:rPr>
                      <w:rFonts w:eastAsia="等线" w:cs="Arial"/>
                      <w:sz w:val="16"/>
                      <w:szCs w:val="16"/>
                    </w:rPr>
                  </w:pPr>
                  <w:r>
                    <w:rPr>
                      <w:rFonts w:eastAsia="等线" w:cs="Arial"/>
                      <w:sz w:val="16"/>
                      <w:szCs w:val="16"/>
                    </w:rPr>
                    <w:t>2021-08-19</w:t>
                  </w:r>
                </w:p>
              </w:tc>
            </w:tr>
            <w:tr w:rsidR="004905C9" w:rsidRPr="00D85A79" w14:paraId="7A754464" w14:textId="77777777" w:rsidTr="00C23684">
              <w:trPr>
                <w:trHeight w:val="308"/>
              </w:trPr>
              <w:tc>
                <w:tcPr>
                  <w:tcW w:w="557" w:type="dxa"/>
                  <w:vMerge/>
                  <w:tcBorders>
                    <w:top w:val="single" w:sz="4" w:space="0" w:color="auto"/>
                    <w:left w:val="nil"/>
                    <w:bottom w:val="single" w:sz="4" w:space="0" w:color="000000"/>
                    <w:right w:val="nil"/>
                  </w:tcBorders>
                  <w:vAlign w:val="center"/>
                </w:tcPr>
                <w:p w14:paraId="1CBA5C0A"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3469A27B"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sz w:val="16"/>
                      <w:szCs w:val="16"/>
                    </w:rPr>
                    <w:t>水泥价格指数</w:t>
                  </w:r>
                  <w:r>
                    <w:rPr>
                      <w:rFonts w:eastAsia="华文楷体" w:cs="Arial"/>
                      <w:sz w:val="16"/>
                      <w:szCs w:val="16"/>
                    </w:rPr>
                    <w:t>:</w:t>
                  </w:r>
                  <w:r>
                    <w:rPr>
                      <w:rFonts w:ascii="华文楷体" w:eastAsia="华文楷体" w:hAnsi="华文楷体" w:hint="eastAsia"/>
                      <w:sz w:val="16"/>
                      <w:szCs w:val="16"/>
                    </w:rPr>
                    <w:t>全国（点）</w:t>
                  </w:r>
                </w:p>
              </w:tc>
              <w:tc>
                <w:tcPr>
                  <w:tcW w:w="969" w:type="dxa"/>
                  <w:tcBorders>
                    <w:top w:val="nil"/>
                    <w:left w:val="nil"/>
                    <w:bottom w:val="nil"/>
                    <w:right w:val="nil"/>
                  </w:tcBorders>
                  <w:shd w:val="clear" w:color="000000" w:fill="DDEBF7"/>
                  <w:noWrap/>
                  <w:vAlign w:val="center"/>
                </w:tcPr>
                <w:p w14:paraId="538B210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146.68 </w:t>
                  </w:r>
                </w:p>
              </w:tc>
              <w:tc>
                <w:tcPr>
                  <w:tcW w:w="852" w:type="dxa"/>
                  <w:tcBorders>
                    <w:top w:val="nil"/>
                    <w:left w:val="nil"/>
                    <w:bottom w:val="nil"/>
                    <w:right w:val="nil"/>
                  </w:tcBorders>
                  <w:shd w:val="clear" w:color="000000" w:fill="FDDCD5"/>
                  <w:noWrap/>
                  <w:vAlign w:val="center"/>
                </w:tcPr>
                <w:p w14:paraId="1B7EC2F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1.59 </w:t>
                  </w:r>
                </w:p>
              </w:tc>
              <w:tc>
                <w:tcPr>
                  <w:tcW w:w="709" w:type="dxa"/>
                  <w:tcBorders>
                    <w:top w:val="nil"/>
                    <w:left w:val="nil"/>
                    <w:bottom w:val="nil"/>
                    <w:right w:val="nil"/>
                  </w:tcBorders>
                  <w:shd w:val="clear" w:color="000000" w:fill="FDDCD5"/>
                  <w:noWrap/>
                  <w:vAlign w:val="center"/>
                </w:tcPr>
                <w:p w14:paraId="6909504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1.48 </w:t>
                  </w:r>
                </w:p>
              </w:tc>
              <w:tc>
                <w:tcPr>
                  <w:tcW w:w="891" w:type="dxa"/>
                  <w:tcBorders>
                    <w:top w:val="nil"/>
                    <w:left w:val="nil"/>
                    <w:bottom w:val="nil"/>
                    <w:right w:val="nil"/>
                  </w:tcBorders>
                  <w:shd w:val="clear" w:color="000000" w:fill="FDDCD5"/>
                  <w:noWrap/>
                  <w:vAlign w:val="center"/>
                </w:tcPr>
                <w:p w14:paraId="2559542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0.97 </w:t>
                  </w:r>
                </w:p>
              </w:tc>
              <w:tc>
                <w:tcPr>
                  <w:tcW w:w="1093" w:type="dxa"/>
                  <w:tcBorders>
                    <w:top w:val="nil"/>
                    <w:left w:val="nil"/>
                    <w:bottom w:val="nil"/>
                    <w:right w:val="nil"/>
                  </w:tcBorders>
                  <w:shd w:val="clear" w:color="000000" w:fill="FDDCD5"/>
                  <w:noWrap/>
                  <w:vAlign w:val="center"/>
                </w:tcPr>
                <w:p w14:paraId="6EFE94B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4.36 </w:t>
                  </w:r>
                </w:p>
              </w:tc>
              <w:tc>
                <w:tcPr>
                  <w:tcW w:w="1591" w:type="dxa"/>
                  <w:tcBorders>
                    <w:top w:val="nil"/>
                    <w:left w:val="nil"/>
                    <w:right w:val="nil"/>
                  </w:tcBorders>
                  <w:shd w:val="clear" w:color="auto" w:fill="auto"/>
                  <w:noWrap/>
                  <w:vAlign w:val="center"/>
                </w:tcPr>
                <w:p w14:paraId="379C18EE" w14:textId="77777777" w:rsidR="004905C9" w:rsidRPr="00D85A79" w:rsidRDefault="004905C9" w:rsidP="00883778">
                  <w:pPr>
                    <w:widowControl/>
                    <w:jc w:val="center"/>
                    <w:rPr>
                      <w:rFonts w:eastAsia="等线" w:cs="Arial"/>
                      <w:sz w:val="16"/>
                      <w:szCs w:val="16"/>
                    </w:rPr>
                  </w:pPr>
                  <w:r>
                    <w:rPr>
                      <w:rFonts w:eastAsia="等线" w:cs="Arial"/>
                      <w:sz w:val="16"/>
                      <w:szCs w:val="16"/>
                    </w:rPr>
                    <w:t>2021-08-19</w:t>
                  </w:r>
                </w:p>
              </w:tc>
            </w:tr>
            <w:tr w:rsidR="004905C9" w:rsidRPr="00D85A79" w14:paraId="1CB2556F" w14:textId="77777777" w:rsidTr="00C23684">
              <w:trPr>
                <w:trHeight w:val="308"/>
              </w:trPr>
              <w:tc>
                <w:tcPr>
                  <w:tcW w:w="557" w:type="dxa"/>
                  <w:vMerge/>
                  <w:tcBorders>
                    <w:top w:val="single" w:sz="4" w:space="0" w:color="auto"/>
                    <w:left w:val="nil"/>
                    <w:bottom w:val="single" w:sz="4" w:space="0" w:color="000000"/>
                    <w:right w:val="nil"/>
                  </w:tcBorders>
                  <w:vAlign w:val="center"/>
                </w:tcPr>
                <w:p w14:paraId="3D21229A"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single" w:sz="4" w:space="0" w:color="auto"/>
                    <w:right w:val="nil"/>
                  </w:tcBorders>
                  <w:shd w:val="clear" w:color="000000" w:fill="FFFFFF"/>
                  <w:noWrap/>
                  <w:vAlign w:val="center"/>
                </w:tcPr>
                <w:p w14:paraId="3B393E7E"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sz w:val="16"/>
                      <w:szCs w:val="16"/>
                    </w:rPr>
                    <w:t>秦皇岛港</w:t>
                  </w:r>
                  <w:r>
                    <w:rPr>
                      <w:rFonts w:eastAsia="华文楷体" w:cs="Arial"/>
                      <w:sz w:val="16"/>
                      <w:szCs w:val="16"/>
                    </w:rPr>
                    <w:t>:</w:t>
                  </w:r>
                  <w:r>
                    <w:rPr>
                      <w:rFonts w:ascii="华文楷体" w:eastAsia="华文楷体" w:hAnsi="华文楷体" w:hint="eastAsia"/>
                      <w:sz w:val="16"/>
                      <w:szCs w:val="16"/>
                    </w:rPr>
                    <w:t>平仓价</w:t>
                  </w:r>
                  <w:r>
                    <w:rPr>
                      <w:rFonts w:eastAsia="华文楷体" w:cs="Arial"/>
                      <w:sz w:val="16"/>
                      <w:szCs w:val="16"/>
                    </w:rPr>
                    <w:t>:</w:t>
                  </w:r>
                  <w:r>
                    <w:rPr>
                      <w:rFonts w:ascii="华文楷体" w:eastAsia="华文楷体" w:hAnsi="华文楷体" w:hint="eastAsia"/>
                      <w:sz w:val="16"/>
                      <w:szCs w:val="16"/>
                    </w:rPr>
                    <w:t>动力末煤（元</w:t>
                  </w:r>
                  <w:r>
                    <w:rPr>
                      <w:rFonts w:eastAsia="华文楷体" w:cs="Arial"/>
                      <w:sz w:val="16"/>
                      <w:szCs w:val="16"/>
                    </w:rPr>
                    <w:t>/</w:t>
                  </w:r>
                  <w:r>
                    <w:rPr>
                      <w:rFonts w:ascii="华文楷体" w:eastAsia="华文楷体" w:hAnsi="华文楷体" w:hint="eastAsia"/>
                      <w:sz w:val="16"/>
                      <w:szCs w:val="16"/>
                    </w:rPr>
                    <w:t>吨）</w:t>
                  </w:r>
                </w:p>
              </w:tc>
              <w:tc>
                <w:tcPr>
                  <w:tcW w:w="969" w:type="dxa"/>
                  <w:tcBorders>
                    <w:top w:val="nil"/>
                    <w:left w:val="nil"/>
                    <w:bottom w:val="single" w:sz="4" w:space="0" w:color="auto"/>
                    <w:right w:val="nil"/>
                  </w:tcBorders>
                  <w:shd w:val="clear" w:color="000000" w:fill="DDEBF7"/>
                  <w:noWrap/>
                  <w:vAlign w:val="center"/>
                </w:tcPr>
                <w:p w14:paraId="1E1F4BBB" w14:textId="77777777" w:rsidR="004905C9" w:rsidRPr="00D85A79" w:rsidRDefault="004905C9" w:rsidP="00883778">
                  <w:pPr>
                    <w:widowControl/>
                    <w:jc w:val="center"/>
                    <w:rPr>
                      <w:rFonts w:eastAsia="等线" w:cs="Arial"/>
                      <w:color w:val="000000"/>
                      <w:sz w:val="16"/>
                      <w:szCs w:val="16"/>
                    </w:rPr>
                  </w:pPr>
                  <w:r>
                    <w:rPr>
                      <w:rFonts w:eastAsia="等线" w:cs="Arial"/>
                      <w:color w:val="000000"/>
                      <w:sz w:val="16"/>
                      <w:szCs w:val="16"/>
                    </w:rPr>
                    <w:t xml:space="preserve">942.00 </w:t>
                  </w:r>
                </w:p>
              </w:tc>
              <w:tc>
                <w:tcPr>
                  <w:tcW w:w="852" w:type="dxa"/>
                  <w:tcBorders>
                    <w:top w:val="nil"/>
                    <w:left w:val="nil"/>
                    <w:bottom w:val="single" w:sz="4" w:space="0" w:color="auto"/>
                    <w:right w:val="nil"/>
                  </w:tcBorders>
                  <w:shd w:val="clear" w:color="auto" w:fill="auto"/>
                  <w:noWrap/>
                  <w:vAlign w:val="center"/>
                </w:tcPr>
                <w:p w14:paraId="31A90440" w14:textId="77777777" w:rsidR="004905C9" w:rsidRPr="00D85A79" w:rsidRDefault="004905C9" w:rsidP="00883778">
                  <w:pPr>
                    <w:widowControl/>
                    <w:jc w:val="center"/>
                    <w:rPr>
                      <w:rFonts w:eastAsia="等线" w:cs="Arial"/>
                      <w:color w:val="000000"/>
                      <w:sz w:val="16"/>
                      <w:szCs w:val="16"/>
                    </w:rPr>
                  </w:pPr>
                  <w:r>
                    <w:rPr>
                      <w:rFonts w:eastAsia="等线" w:cs="Arial"/>
                      <w:color w:val="000000"/>
                      <w:sz w:val="16"/>
                      <w:szCs w:val="16"/>
                    </w:rPr>
                    <w:t xml:space="preserve">0.00 </w:t>
                  </w:r>
                </w:p>
              </w:tc>
              <w:tc>
                <w:tcPr>
                  <w:tcW w:w="709" w:type="dxa"/>
                  <w:tcBorders>
                    <w:top w:val="nil"/>
                    <w:left w:val="nil"/>
                    <w:bottom w:val="single" w:sz="4" w:space="0" w:color="auto"/>
                    <w:right w:val="nil"/>
                  </w:tcBorders>
                  <w:shd w:val="clear" w:color="auto" w:fill="auto"/>
                  <w:noWrap/>
                  <w:vAlign w:val="center"/>
                </w:tcPr>
                <w:p w14:paraId="3C14D162" w14:textId="77777777" w:rsidR="004905C9" w:rsidRPr="00F10E0E" w:rsidRDefault="004905C9" w:rsidP="00883778">
                  <w:pPr>
                    <w:widowControl/>
                    <w:jc w:val="center"/>
                    <w:rPr>
                      <w:rFonts w:eastAsia="等线" w:cs="Arial"/>
                      <w:color w:val="000000"/>
                      <w:sz w:val="16"/>
                      <w:szCs w:val="16"/>
                    </w:rPr>
                  </w:pPr>
                  <w:r>
                    <w:rPr>
                      <w:rFonts w:eastAsia="等线" w:cs="Arial"/>
                      <w:color w:val="000000"/>
                      <w:sz w:val="16"/>
                      <w:szCs w:val="16"/>
                    </w:rPr>
                    <w:t xml:space="preserve">0.00 </w:t>
                  </w:r>
                </w:p>
              </w:tc>
              <w:tc>
                <w:tcPr>
                  <w:tcW w:w="891" w:type="dxa"/>
                  <w:tcBorders>
                    <w:top w:val="nil"/>
                    <w:left w:val="nil"/>
                    <w:bottom w:val="single" w:sz="4" w:space="0" w:color="auto"/>
                    <w:right w:val="nil"/>
                  </w:tcBorders>
                  <w:shd w:val="clear" w:color="auto" w:fill="auto"/>
                  <w:noWrap/>
                  <w:vAlign w:val="center"/>
                </w:tcPr>
                <w:p w14:paraId="05B1770B" w14:textId="77777777" w:rsidR="004905C9" w:rsidRPr="00F10E0E" w:rsidRDefault="004905C9" w:rsidP="00883778">
                  <w:pPr>
                    <w:widowControl/>
                    <w:jc w:val="center"/>
                    <w:rPr>
                      <w:rFonts w:eastAsia="等线" w:cs="Arial"/>
                      <w:color w:val="000000"/>
                      <w:sz w:val="16"/>
                      <w:szCs w:val="16"/>
                    </w:rPr>
                  </w:pPr>
                  <w:r>
                    <w:rPr>
                      <w:rFonts w:eastAsia="等线" w:cs="Arial"/>
                      <w:color w:val="000000"/>
                      <w:sz w:val="16"/>
                      <w:szCs w:val="16"/>
                    </w:rPr>
                    <w:t xml:space="preserve">0.00 </w:t>
                  </w:r>
                </w:p>
              </w:tc>
              <w:tc>
                <w:tcPr>
                  <w:tcW w:w="1093" w:type="dxa"/>
                  <w:tcBorders>
                    <w:top w:val="nil"/>
                    <w:left w:val="nil"/>
                    <w:bottom w:val="single" w:sz="4" w:space="0" w:color="auto"/>
                    <w:right w:val="nil"/>
                  </w:tcBorders>
                  <w:shd w:val="clear" w:color="000000" w:fill="FDDCD5"/>
                  <w:noWrap/>
                  <w:vAlign w:val="center"/>
                </w:tcPr>
                <w:p w14:paraId="04309DB1" w14:textId="77777777" w:rsidR="004905C9" w:rsidRPr="00F10E0E" w:rsidRDefault="004905C9" w:rsidP="00883778">
                  <w:pPr>
                    <w:widowControl/>
                    <w:jc w:val="center"/>
                    <w:rPr>
                      <w:rFonts w:eastAsia="等线" w:cs="Arial"/>
                      <w:color w:val="000000"/>
                      <w:sz w:val="16"/>
                      <w:szCs w:val="16"/>
                    </w:rPr>
                  </w:pPr>
                  <w:r>
                    <w:rPr>
                      <w:rFonts w:eastAsia="等线" w:cs="Arial"/>
                      <w:color w:val="000000"/>
                      <w:sz w:val="16"/>
                      <w:szCs w:val="16"/>
                    </w:rPr>
                    <w:t xml:space="preserve">69.90 </w:t>
                  </w:r>
                </w:p>
              </w:tc>
              <w:tc>
                <w:tcPr>
                  <w:tcW w:w="1591" w:type="dxa"/>
                  <w:tcBorders>
                    <w:top w:val="nil"/>
                    <w:left w:val="nil"/>
                    <w:bottom w:val="single" w:sz="4" w:space="0" w:color="auto"/>
                    <w:right w:val="nil"/>
                  </w:tcBorders>
                  <w:shd w:val="clear" w:color="auto" w:fill="auto"/>
                  <w:noWrap/>
                  <w:vAlign w:val="center"/>
                </w:tcPr>
                <w:p w14:paraId="581E47B8" w14:textId="77777777" w:rsidR="004905C9" w:rsidRPr="00D85A79" w:rsidRDefault="004905C9" w:rsidP="00883778">
                  <w:pPr>
                    <w:widowControl/>
                    <w:jc w:val="center"/>
                    <w:rPr>
                      <w:rFonts w:eastAsia="等线" w:cs="Arial"/>
                      <w:sz w:val="16"/>
                      <w:szCs w:val="16"/>
                    </w:rPr>
                  </w:pPr>
                  <w:r>
                    <w:rPr>
                      <w:rFonts w:eastAsia="等线" w:cs="Arial"/>
                      <w:sz w:val="16"/>
                      <w:szCs w:val="16"/>
                    </w:rPr>
                    <w:t>2021-08-19</w:t>
                  </w:r>
                </w:p>
              </w:tc>
            </w:tr>
            <w:tr w:rsidR="004905C9" w:rsidRPr="00D85A79" w14:paraId="01F8425E" w14:textId="77777777" w:rsidTr="00C23684">
              <w:trPr>
                <w:trHeight w:val="338"/>
              </w:trPr>
              <w:tc>
                <w:tcPr>
                  <w:tcW w:w="557" w:type="dxa"/>
                  <w:vMerge w:val="restart"/>
                  <w:tcBorders>
                    <w:top w:val="nil"/>
                    <w:left w:val="nil"/>
                    <w:bottom w:val="nil"/>
                    <w:right w:val="nil"/>
                  </w:tcBorders>
                  <w:shd w:val="clear" w:color="000000" w:fill="FFFFFF"/>
                  <w:noWrap/>
                  <w:vAlign w:val="center"/>
                </w:tcPr>
                <w:p w14:paraId="008432E8" w14:textId="77777777" w:rsidR="004905C9" w:rsidRPr="00D85A79" w:rsidRDefault="004905C9" w:rsidP="00883778">
                  <w:pPr>
                    <w:widowControl/>
                    <w:jc w:val="center"/>
                    <w:rPr>
                      <w:rFonts w:eastAsia="等线" w:cs="Arial"/>
                      <w:color w:val="000000"/>
                      <w:kern w:val="0"/>
                      <w:sz w:val="16"/>
                      <w:szCs w:val="16"/>
                    </w:rPr>
                  </w:pPr>
                  <w:r>
                    <w:rPr>
                      <w:rFonts w:ascii="华文楷体" w:eastAsia="华文楷体" w:hAnsi="华文楷体" w:cs="Arial" w:hint="eastAsia"/>
                      <w:color w:val="000000"/>
                      <w:sz w:val="16"/>
                      <w:szCs w:val="16"/>
                    </w:rPr>
                    <w:t>汇率</w:t>
                  </w:r>
                </w:p>
              </w:tc>
              <w:tc>
                <w:tcPr>
                  <w:tcW w:w="3326" w:type="dxa"/>
                  <w:tcBorders>
                    <w:top w:val="nil"/>
                    <w:left w:val="nil"/>
                    <w:bottom w:val="nil"/>
                    <w:right w:val="nil"/>
                  </w:tcBorders>
                  <w:shd w:val="clear" w:color="auto" w:fill="auto"/>
                  <w:noWrap/>
                  <w:vAlign w:val="center"/>
                </w:tcPr>
                <w:p w14:paraId="6AA1AEDE"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即期汇率</w:t>
                  </w:r>
                  <w:r>
                    <w:rPr>
                      <w:rFonts w:eastAsia="华文楷体" w:cs="Arial"/>
                      <w:color w:val="000000"/>
                      <w:sz w:val="16"/>
                      <w:szCs w:val="16"/>
                    </w:rPr>
                    <w:t>:</w:t>
                  </w:r>
                  <w:r>
                    <w:rPr>
                      <w:rFonts w:ascii="华文楷体" w:eastAsia="华文楷体" w:hAnsi="华文楷体" w:hint="eastAsia"/>
                      <w:color w:val="000000"/>
                      <w:sz w:val="16"/>
                      <w:szCs w:val="16"/>
                    </w:rPr>
                    <w:t>美元兑人民币</w:t>
                  </w:r>
                </w:p>
              </w:tc>
              <w:tc>
                <w:tcPr>
                  <w:tcW w:w="969" w:type="dxa"/>
                  <w:tcBorders>
                    <w:top w:val="nil"/>
                    <w:left w:val="nil"/>
                    <w:bottom w:val="nil"/>
                    <w:right w:val="nil"/>
                  </w:tcBorders>
                  <w:shd w:val="clear" w:color="000000" w:fill="DDEBF7"/>
                  <w:noWrap/>
                  <w:vAlign w:val="center"/>
                </w:tcPr>
                <w:p w14:paraId="57BE6A84" w14:textId="77777777" w:rsidR="004905C9" w:rsidRPr="00D85A79" w:rsidRDefault="004905C9" w:rsidP="00883778">
                  <w:pPr>
                    <w:widowControl/>
                    <w:jc w:val="center"/>
                    <w:rPr>
                      <w:rFonts w:eastAsia="等线" w:cs="Arial"/>
                      <w:color w:val="000000"/>
                      <w:sz w:val="16"/>
                      <w:szCs w:val="16"/>
                    </w:rPr>
                  </w:pPr>
                  <w:r>
                    <w:rPr>
                      <w:rFonts w:eastAsia="等线" w:cs="Arial"/>
                      <w:color w:val="000000"/>
                      <w:sz w:val="16"/>
                      <w:szCs w:val="16"/>
                    </w:rPr>
                    <w:t xml:space="preserve">6.50 </w:t>
                  </w:r>
                </w:p>
              </w:tc>
              <w:tc>
                <w:tcPr>
                  <w:tcW w:w="852" w:type="dxa"/>
                  <w:tcBorders>
                    <w:top w:val="nil"/>
                    <w:left w:val="nil"/>
                    <w:bottom w:val="nil"/>
                    <w:right w:val="nil"/>
                  </w:tcBorders>
                  <w:shd w:val="clear" w:color="000000" w:fill="FDDCD5"/>
                  <w:noWrap/>
                  <w:vAlign w:val="center"/>
                </w:tcPr>
                <w:p w14:paraId="3F09368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0.26 </w:t>
                  </w:r>
                </w:p>
              </w:tc>
              <w:tc>
                <w:tcPr>
                  <w:tcW w:w="709" w:type="dxa"/>
                  <w:tcBorders>
                    <w:top w:val="nil"/>
                    <w:left w:val="nil"/>
                    <w:bottom w:val="nil"/>
                    <w:right w:val="nil"/>
                  </w:tcBorders>
                  <w:shd w:val="clear" w:color="000000" w:fill="FDDCD5"/>
                  <w:noWrap/>
                  <w:vAlign w:val="center"/>
                </w:tcPr>
                <w:p w14:paraId="5F7D9416"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0.22 </w:t>
                  </w:r>
                </w:p>
              </w:tc>
              <w:tc>
                <w:tcPr>
                  <w:tcW w:w="891" w:type="dxa"/>
                  <w:tcBorders>
                    <w:top w:val="nil"/>
                    <w:left w:val="nil"/>
                    <w:bottom w:val="nil"/>
                    <w:right w:val="nil"/>
                  </w:tcBorders>
                  <w:shd w:val="clear" w:color="000000" w:fill="FDDCD5"/>
                  <w:noWrap/>
                  <w:vAlign w:val="center"/>
                </w:tcPr>
                <w:p w14:paraId="6FA6EEE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0.08 </w:t>
                  </w:r>
                </w:p>
              </w:tc>
              <w:tc>
                <w:tcPr>
                  <w:tcW w:w="1093" w:type="dxa"/>
                  <w:tcBorders>
                    <w:top w:val="nil"/>
                    <w:left w:val="nil"/>
                    <w:bottom w:val="nil"/>
                    <w:right w:val="nil"/>
                  </w:tcBorders>
                  <w:shd w:val="clear" w:color="000000" w:fill="E2EFDA"/>
                  <w:noWrap/>
                  <w:vAlign w:val="center"/>
                </w:tcPr>
                <w:p w14:paraId="7228D941"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-6.83 </w:t>
                  </w:r>
                </w:p>
              </w:tc>
              <w:tc>
                <w:tcPr>
                  <w:tcW w:w="1591" w:type="dxa"/>
                  <w:tcBorders>
                    <w:top w:val="single" w:sz="4" w:space="0" w:color="auto"/>
                    <w:left w:val="nil"/>
                    <w:bottom w:val="nil"/>
                    <w:right w:val="nil"/>
                  </w:tcBorders>
                  <w:shd w:val="clear" w:color="auto" w:fill="auto"/>
                  <w:noWrap/>
                  <w:vAlign w:val="center"/>
                </w:tcPr>
                <w:p w14:paraId="242386D4"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2021-08-21</w:t>
                  </w:r>
                </w:p>
              </w:tc>
            </w:tr>
            <w:tr w:rsidR="004905C9" w:rsidRPr="00D85A79" w14:paraId="3737C6C1" w14:textId="77777777" w:rsidTr="00883778">
              <w:trPr>
                <w:trHeight w:val="338"/>
              </w:trPr>
              <w:tc>
                <w:tcPr>
                  <w:tcW w:w="557" w:type="dxa"/>
                  <w:vMerge/>
                  <w:tcBorders>
                    <w:top w:val="nil"/>
                    <w:left w:val="nil"/>
                    <w:bottom w:val="nil"/>
                    <w:right w:val="nil"/>
                  </w:tcBorders>
                  <w:vAlign w:val="center"/>
                </w:tcPr>
                <w:p w14:paraId="2C16D156"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auto" w:fill="auto"/>
                  <w:noWrap/>
                  <w:vAlign w:val="center"/>
                </w:tcPr>
                <w:p w14:paraId="0269AB23"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即期汇率</w:t>
                  </w:r>
                  <w:r>
                    <w:rPr>
                      <w:rFonts w:eastAsia="华文楷体" w:cs="Arial"/>
                      <w:color w:val="000000"/>
                      <w:sz w:val="16"/>
                      <w:szCs w:val="16"/>
                    </w:rPr>
                    <w:t>:</w:t>
                  </w:r>
                  <w:r>
                    <w:rPr>
                      <w:rFonts w:ascii="华文楷体" w:eastAsia="华文楷体" w:hAnsi="华文楷体" w:hint="eastAsia"/>
                      <w:color w:val="000000"/>
                      <w:sz w:val="16"/>
                      <w:szCs w:val="16"/>
                    </w:rPr>
                    <w:t>欧元兑人民币</w:t>
                  </w:r>
                </w:p>
              </w:tc>
              <w:tc>
                <w:tcPr>
                  <w:tcW w:w="969" w:type="dxa"/>
                  <w:tcBorders>
                    <w:top w:val="nil"/>
                    <w:left w:val="nil"/>
                    <w:bottom w:val="nil"/>
                    <w:right w:val="nil"/>
                  </w:tcBorders>
                  <w:shd w:val="clear" w:color="000000" w:fill="DDEBF7"/>
                  <w:noWrap/>
                  <w:vAlign w:val="center"/>
                </w:tcPr>
                <w:p w14:paraId="2AD70E7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7.59 </w:t>
                  </w:r>
                </w:p>
              </w:tc>
              <w:tc>
                <w:tcPr>
                  <w:tcW w:w="852" w:type="dxa"/>
                  <w:tcBorders>
                    <w:top w:val="nil"/>
                    <w:left w:val="nil"/>
                    <w:bottom w:val="nil"/>
                    <w:right w:val="nil"/>
                  </w:tcBorders>
                  <w:shd w:val="clear" w:color="000000" w:fill="E2EFDA"/>
                  <w:noWrap/>
                  <w:vAlign w:val="center"/>
                </w:tcPr>
                <w:p w14:paraId="1753DB2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-0.24 </w:t>
                  </w:r>
                </w:p>
              </w:tc>
              <w:tc>
                <w:tcPr>
                  <w:tcW w:w="709" w:type="dxa"/>
                  <w:tcBorders>
                    <w:top w:val="nil"/>
                    <w:left w:val="nil"/>
                    <w:bottom w:val="nil"/>
                    <w:right w:val="nil"/>
                  </w:tcBorders>
                  <w:shd w:val="clear" w:color="000000" w:fill="E2EFDA"/>
                  <w:noWrap/>
                  <w:vAlign w:val="center"/>
                </w:tcPr>
                <w:p w14:paraId="070A6C4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-0.41 </w:t>
                  </w:r>
                </w:p>
              </w:tc>
              <w:tc>
                <w:tcPr>
                  <w:tcW w:w="891" w:type="dxa"/>
                  <w:tcBorders>
                    <w:top w:val="nil"/>
                    <w:left w:val="nil"/>
                    <w:bottom w:val="nil"/>
                    <w:right w:val="nil"/>
                  </w:tcBorders>
                  <w:shd w:val="clear" w:color="000000" w:fill="E2EFDA"/>
                  <w:noWrap/>
                  <w:vAlign w:val="center"/>
                </w:tcPr>
                <w:p w14:paraId="35E90A8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-0.36 </w:t>
                  </w:r>
                </w:p>
              </w:tc>
              <w:tc>
                <w:tcPr>
                  <w:tcW w:w="1093" w:type="dxa"/>
                  <w:tcBorders>
                    <w:top w:val="nil"/>
                    <w:left w:val="nil"/>
                    <w:bottom w:val="nil"/>
                    <w:right w:val="nil"/>
                  </w:tcBorders>
                  <w:shd w:val="clear" w:color="000000" w:fill="E2EFDA"/>
                  <w:noWrap/>
                  <w:vAlign w:val="center"/>
                </w:tcPr>
                <w:p w14:paraId="4846C1DA"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-6.78 </w:t>
                  </w:r>
                </w:p>
              </w:tc>
              <w:tc>
                <w:tcPr>
                  <w:tcW w:w="1591" w:type="dxa"/>
                  <w:tcBorders>
                    <w:top w:val="nil"/>
                    <w:left w:val="nil"/>
                    <w:bottom w:val="nil"/>
                    <w:right w:val="nil"/>
                  </w:tcBorders>
                  <w:shd w:val="clear" w:color="auto" w:fill="auto"/>
                  <w:noWrap/>
                  <w:vAlign w:val="center"/>
                </w:tcPr>
                <w:p w14:paraId="5D87A0F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2021-08-21</w:t>
                  </w:r>
                </w:p>
              </w:tc>
            </w:tr>
            <w:tr w:rsidR="004905C9" w:rsidRPr="00D85A79" w14:paraId="24729A8D" w14:textId="77777777" w:rsidTr="00883778">
              <w:trPr>
                <w:trHeight w:val="338"/>
              </w:trPr>
              <w:tc>
                <w:tcPr>
                  <w:tcW w:w="557" w:type="dxa"/>
                  <w:vMerge/>
                  <w:tcBorders>
                    <w:top w:val="nil"/>
                    <w:left w:val="nil"/>
                    <w:bottom w:val="nil"/>
                    <w:right w:val="nil"/>
                  </w:tcBorders>
                  <w:vAlign w:val="center"/>
                </w:tcPr>
                <w:p w14:paraId="71D0A078"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auto" w:fill="auto"/>
                  <w:noWrap/>
                  <w:vAlign w:val="center"/>
                </w:tcPr>
                <w:p w14:paraId="6BA90AEF"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即期汇率</w:t>
                  </w:r>
                  <w:r>
                    <w:rPr>
                      <w:rFonts w:eastAsia="华文楷体" w:cs="Arial"/>
                      <w:color w:val="000000"/>
                      <w:sz w:val="16"/>
                      <w:szCs w:val="16"/>
                    </w:rPr>
                    <w:t>:100</w:t>
                  </w:r>
                  <w:r>
                    <w:rPr>
                      <w:rFonts w:ascii="华文楷体" w:eastAsia="华文楷体" w:hAnsi="华文楷体" w:hint="eastAsia"/>
                      <w:color w:val="000000"/>
                      <w:sz w:val="16"/>
                      <w:szCs w:val="16"/>
                    </w:rPr>
                    <w:t>日元兑人民币</w:t>
                  </w:r>
                </w:p>
              </w:tc>
              <w:tc>
                <w:tcPr>
                  <w:tcW w:w="969" w:type="dxa"/>
                  <w:tcBorders>
                    <w:top w:val="nil"/>
                    <w:left w:val="nil"/>
                    <w:bottom w:val="nil"/>
                    <w:right w:val="nil"/>
                  </w:tcBorders>
                  <w:shd w:val="clear" w:color="000000" w:fill="DDEBF7"/>
                  <w:noWrap/>
                  <w:vAlign w:val="center"/>
                </w:tcPr>
                <w:p w14:paraId="4F15700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5.93 </w:t>
                  </w:r>
                </w:p>
              </w:tc>
              <w:tc>
                <w:tcPr>
                  <w:tcW w:w="852" w:type="dxa"/>
                  <w:tcBorders>
                    <w:top w:val="nil"/>
                    <w:left w:val="nil"/>
                    <w:bottom w:val="nil"/>
                    <w:right w:val="nil"/>
                  </w:tcBorders>
                  <w:shd w:val="clear" w:color="000000" w:fill="FDDCD5"/>
                  <w:noWrap/>
                  <w:vAlign w:val="center"/>
                </w:tcPr>
                <w:p w14:paraId="0477AA77"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0.85 </w:t>
                  </w:r>
                </w:p>
              </w:tc>
              <w:tc>
                <w:tcPr>
                  <w:tcW w:w="709" w:type="dxa"/>
                  <w:tcBorders>
                    <w:top w:val="nil"/>
                    <w:left w:val="nil"/>
                    <w:bottom w:val="nil"/>
                    <w:right w:val="nil"/>
                  </w:tcBorders>
                  <w:shd w:val="clear" w:color="000000" w:fill="E2EFDA"/>
                  <w:noWrap/>
                  <w:vAlign w:val="center"/>
                </w:tcPr>
                <w:p w14:paraId="7DD35C9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-0.26 </w:t>
                  </w:r>
                </w:p>
              </w:tc>
              <w:tc>
                <w:tcPr>
                  <w:tcW w:w="891" w:type="dxa"/>
                  <w:tcBorders>
                    <w:top w:val="nil"/>
                    <w:left w:val="nil"/>
                    <w:bottom w:val="nil"/>
                    <w:right w:val="nil"/>
                  </w:tcBorders>
                  <w:shd w:val="clear" w:color="000000" w:fill="FDDCD5"/>
                  <w:noWrap/>
                  <w:vAlign w:val="center"/>
                </w:tcPr>
                <w:p w14:paraId="3094D48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0.60 </w:t>
                  </w:r>
                </w:p>
              </w:tc>
              <w:tc>
                <w:tcPr>
                  <w:tcW w:w="1093" w:type="dxa"/>
                  <w:tcBorders>
                    <w:top w:val="nil"/>
                    <w:left w:val="nil"/>
                    <w:bottom w:val="nil"/>
                    <w:right w:val="nil"/>
                  </w:tcBorders>
                  <w:shd w:val="clear" w:color="000000" w:fill="E2EFDA"/>
                  <w:noWrap/>
                  <w:vAlign w:val="center"/>
                </w:tcPr>
                <w:p w14:paraId="58A9B1EE"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-10.52 </w:t>
                  </w:r>
                </w:p>
              </w:tc>
              <w:tc>
                <w:tcPr>
                  <w:tcW w:w="1591" w:type="dxa"/>
                  <w:tcBorders>
                    <w:top w:val="nil"/>
                    <w:left w:val="nil"/>
                    <w:bottom w:val="nil"/>
                    <w:right w:val="nil"/>
                  </w:tcBorders>
                  <w:shd w:val="clear" w:color="auto" w:fill="auto"/>
                  <w:noWrap/>
                  <w:vAlign w:val="center"/>
                </w:tcPr>
                <w:p w14:paraId="011BD979"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2021-08-21</w:t>
                  </w:r>
                </w:p>
              </w:tc>
            </w:tr>
            <w:tr w:rsidR="004905C9" w:rsidRPr="00D85A79" w14:paraId="39BDAFF0" w14:textId="77777777" w:rsidTr="00883778">
              <w:trPr>
                <w:trHeight w:val="338"/>
              </w:trPr>
              <w:tc>
                <w:tcPr>
                  <w:tcW w:w="557" w:type="dxa"/>
                  <w:vMerge/>
                  <w:tcBorders>
                    <w:top w:val="nil"/>
                    <w:left w:val="nil"/>
                    <w:bottom w:val="nil"/>
                    <w:right w:val="nil"/>
                  </w:tcBorders>
                  <w:vAlign w:val="center"/>
                </w:tcPr>
                <w:p w14:paraId="5B9FD16A" w14:textId="77777777" w:rsidR="004905C9" w:rsidRPr="00D85A79" w:rsidRDefault="004905C9" w:rsidP="00883778">
                  <w:pPr>
                    <w:widowControl/>
                    <w:jc w:val="left"/>
                    <w:rPr>
                      <w:rFonts w:eastAsia="等线" w:cs="Arial"/>
                      <w:color w:val="000000"/>
                      <w:kern w:val="0"/>
                      <w:sz w:val="16"/>
                      <w:szCs w:val="16"/>
                    </w:rPr>
                  </w:pPr>
                </w:p>
              </w:tc>
              <w:tc>
                <w:tcPr>
                  <w:tcW w:w="3326" w:type="dxa"/>
                  <w:tcBorders>
                    <w:top w:val="nil"/>
                    <w:left w:val="nil"/>
                    <w:bottom w:val="nil"/>
                    <w:right w:val="nil"/>
                  </w:tcBorders>
                  <w:shd w:val="clear" w:color="000000" w:fill="FFFFFF"/>
                  <w:noWrap/>
                  <w:vAlign w:val="center"/>
                </w:tcPr>
                <w:p w14:paraId="1D31ABB6" w14:textId="77777777" w:rsidR="004905C9" w:rsidRPr="00D85A79" w:rsidRDefault="004905C9" w:rsidP="00883778">
                  <w:pPr>
                    <w:widowControl/>
                    <w:jc w:val="center"/>
                    <w:rPr>
                      <w:rFonts w:ascii="华文楷体" w:eastAsia="华文楷体" w:hAnsi="华文楷体" w:cs="宋体"/>
                      <w:color w:val="000000"/>
                      <w:kern w:val="0"/>
                      <w:sz w:val="16"/>
                      <w:szCs w:val="16"/>
                    </w:rPr>
                  </w:pPr>
                  <w:r>
                    <w:rPr>
                      <w:rFonts w:ascii="华文楷体" w:eastAsia="华文楷体" w:hAnsi="华文楷体" w:hint="eastAsia"/>
                      <w:color w:val="000000"/>
                      <w:sz w:val="16"/>
                      <w:szCs w:val="16"/>
                    </w:rPr>
                    <w:t>人民币实际有效汇率指数</w:t>
                  </w:r>
                </w:p>
              </w:tc>
              <w:tc>
                <w:tcPr>
                  <w:tcW w:w="969" w:type="dxa"/>
                  <w:tcBorders>
                    <w:top w:val="nil"/>
                    <w:left w:val="nil"/>
                    <w:bottom w:val="nil"/>
                    <w:right w:val="nil"/>
                  </w:tcBorders>
                  <w:shd w:val="clear" w:color="000000" w:fill="DDEBF7"/>
                  <w:noWrap/>
                  <w:vAlign w:val="center"/>
                </w:tcPr>
                <w:p w14:paraId="159518F8"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130.10 </w:t>
                  </w:r>
                </w:p>
              </w:tc>
              <w:tc>
                <w:tcPr>
                  <w:tcW w:w="852" w:type="dxa"/>
                  <w:tcBorders>
                    <w:top w:val="nil"/>
                    <w:left w:val="nil"/>
                    <w:bottom w:val="nil"/>
                    <w:right w:val="nil"/>
                  </w:tcBorders>
                  <w:shd w:val="clear" w:color="000000" w:fill="FDDCD5"/>
                  <w:noWrap/>
                  <w:vAlign w:val="center"/>
                </w:tcPr>
                <w:p w14:paraId="13EBB03F"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0.22 </w:t>
                  </w:r>
                </w:p>
              </w:tc>
              <w:tc>
                <w:tcPr>
                  <w:tcW w:w="709" w:type="dxa"/>
                  <w:tcBorders>
                    <w:top w:val="nil"/>
                    <w:left w:val="nil"/>
                    <w:bottom w:val="nil"/>
                    <w:right w:val="nil"/>
                  </w:tcBorders>
                  <w:shd w:val="clear" w:color="000000" w:fill="FDDCD5"/>
                  <w:noWrap/>
                  <w:vAlign w:val="center"/>
                </w:tcPr>
                <w:p w14:paraId="53D525AC"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0.26 </w:t>
                  </w:r>
                </w:p>
              </w:tc>
              <w:tc>
                <w:tcPr>
                  <w:tcW w:w="891" w:type="dxa"/>
                  <w:tcBorders>
                    <w:top w:val="nil"/>
                    <w:left w:val="nil"/>
                    <w:bottom w:val="nil"/>
                    <w:right w:val="nil"/>
                  </w:tcBorders>
                  <w:shd w:val="clear" w:color="000000" w:fill="FDDCD5"/>
                  <w:noWrap/>
                  <w:vAlign w:val="center"/>
                </w:tcPr>
                <w:p w14:paraId="33130795"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0.15 </w:t>
                  </w:r>
                </w:p>
              </w:tc>
              <w:tc>
                <w:tcPr>
                  <w:tcW w:w="1093" w:type="dxa"/>
                  <w:tcBorders>
                    <w:top w:val="nil"/>
                    <w:left w:val="nil"/>
                    <w:bottom w:val="nil"/>
                    <w:right w:val="nil"/>
                  </w:tcBorders>
                  <w:shd w:val="clear" w:color="000000" w:fill="FDDCD5"/>
                  <w:noWrap/>
                  <w:vAlign w:val="center"/>
                </w:tcPr>
                <w:p w14:paraId="7C16BFA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 xml:space="preserve">6.15 </w:t>
                  </w:r>
                </w:p>
              </w:tc>
              <w:tc>
                <w:tcPr>
                  <w:tcW w:w="1591" w:type="dxa"/>
                  <w:tcBorders>
                    <w:top w:val="nil"/>
                    <w:left w:val="nil"/>
                    <w:bottom w:val="nil"/>
                    <w:right w:val="nil"/>
                  </w:tcBorders>
                  <w:shd w:val="clear" w:color="auto" w:fill="auto"/>
                  <w:noWrap/>
                  <w:vAlign w:val="center"/>
                </w:tcPr>
                <w:p w14:paraId="0FC2A842" w14:textId="77777777" w:rsidR="004905C9" w:rsidRPr="00D85A79" w:rsidRDefault="004905C9" w:rsidP="00883778">
                  <w:pPr>
                    <w:widowControl/>
                    <w:jc w:val="center"/>
                    <w:rPr>
                      <w:rFonts w:eastAsia="等线" w:cs="Arial"/>
                      <w:color w:val="000000"/>
                      <w:kern w:val="0"/>
                      <w:sz w:val="16"/>
                      <w:szCs w:val="16"/>
                    </w:rPr>
                  </w:pPr>
                  <w:r>
                    <w:rPr>
                      <w:rFonts w:eastAsia="等线" w:cs="Arial"/>
                      <w:color w:val="000000"/>
                      <w:sz w:val="16"/>
                      <w:szCs w:val="16"/>
                    </w:rPr>
                    <w:t>2021-08-21</w:t>
                  </w:r>
                </w:p>
              </w:tc>
            </w:tr>
          </w:tbl>
          <w:p w14:paraId="3D135A5C" w14:textId="77777777" w:rsidR="004905C9" w:rsidRPr="00D85A79" w:rsidRDefault="004905C9" w:rsidP="00883778"/>
        </w:tc>
      </w:tr>
      <w:tr w:rsidR="004905C9" w:rsidRPr="00D85A79" w14:paraId="4A043D94" w14:textId="77777777" w:rsidTr="00883778">
        <w:trPr>
          <w:trHeight w:val="113"/>
        </w:trPr>
        <w:tc>
          <w:tcPr>
            <w:tcW w:w="10420" w:type="dxa"/>
            <w:tcBorders>
              <w:top w:val="single" w:sz="8" w:space="0" w:color="C00000"/>
            </w:tcBorders>
            <w:shd w:val="clear" w:color="auto" w:fill="auto"/>
          </w:tcPr>
          <w:p w14:paraId="4DA4E579" w14:textId="77777777" w:rsidR="004905C9" w:rsidRPr="00D85A79" w:rsidRDefault="004905C9" w:rsidP="00883778">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r>
    </w:tbl>
    <w:p w14:paraId="1FBB42D1" w14:textId="77777777" w:rsidR="004905C9" w:rsidRPr="00D21779" w:rsidRDefault="004905C9" w:rsidP="00247D79"/>
    <w:p w14:paraId="7C3F7531" w14:textId="01406049" w:rsidR="001F3C9F" w:rsidRPr="00D85A79" w:rsidRDefault="00BF6591" w:rsidP="001F3C9F">
      <w:pPr>
        <w:tabs>
          <w:tab w:val="right" w:pos="12424"/>
        </w:tabs>
        <w:spacing w:after="120" w:line="480" w:lineRule="exact"/>
        <w:ind w:leftChars="1050" w:left="2205"/>
        <w:jc w:val="left"/>
        <w:outlineLvl w:val="0"/>
        <w:rPr>
          <w:rFonts w:cs="Arial"/>
          <w:b/>
          <w:sz w:val="28"/>
          <w:szCs w:val="21"/>
        </w:rPr>
      </w:pPr>
      <w:bookmarkStart w:id="49" w:name="_Toc80478232"/>
      <w:r>
        <w:rPr>
          <w:rFonts w:cs="Arial" w:hint="eastAsia"/>
          <w:b/>
          <w:sz w:val="28"/>
          <w:szCs w:val="21"/>
        </w:rPr>
        <w:t>三</w:t>
      </w:r>
      <w:r w:rsidR="004905C9">
        <w:rPr>
          <w:rFonts w:cs="Arial" w:hint="eastAsia"/>
          <w:b/>
          <w:sz w:val="28"/>
          <w:szCs w:val="21"/>
        </w:rPr>
        <w:t>、</w:t>
      </w:r>
      <w:r w:rsidR="004905C9" w:rsidRPr="00D85A79">
        <w:rPr>
          <w:rFonts w:cs="Arial" w:hint="eastAsia"/>
          <w:b/>
          <w:sz w:val="28"/>
          <w:szCs w:val="21"/>
        </w:rPr>
        <w:t>资金面：</w:t>
      </w:r>
      <w:bookmarkEnd w:id="10"/>
      <w:r w:rsidR="004905C9" w:rsidRPr="00E97722">
        <w:rPr>
          <w:rFonts w:cs="Arial" w:hint="eastAsia"/>
          <w:b/>
          <w:sz w:val="28"/>
          <w:szCs w:val="21"/>
        </w:rPr>
        <w:t>央行维稳流动性，资金利率整体下行</w:t>
      </w:r>
      <w:bookmarkEnd w:id="49"/>
    </w:p>
    <w:p w14:paraId="18AB4DA2" w14:textId="228C15D9" w:rsidR="009963B1" w:rsidRDefault="00B35B49" w:rsidP="006953C0">
      <w:pPr>
        <w:ind w:left="3681"/>
      </w:pPr>
      <w:r w:rsidRPr="00DC6384">
        <w:rPr>
          <w:rFonts w:hint="eastAsia"/>
          <w:b/>
          <w:bCs/>
        </w:rPr>
        <w:t>资金面宽松，利率</w:t>
      </w:r>
      <w:r w:rsidR="0025791E">
        <w:rPr>
          <w:rFonts w:hint="eastAsia"/>
          <w:b/>
          <w:bCs/>
        </w:rPr>
        <w:t>先下后上</w:t>
      </w:r>
      <w:r>
        <w:rPr>
          <w:rFonts w:hint="eastAsia"/>
        </w:rPr>
        <w:t>。</w:t>
      </w:r>
      <w:r w:rsidR="0025791E">
        <w:rPr>
          <w:rFonts w:hint="eastAsia"/>
        </w:rPr>
        <w:t>本周</w:t>
      </w:r>
      <w:r w:rsidR="0025791E">
        <w:rPr>
          <w:rFonts w:hint="eastAsia"/>
        </w:rPr>
        <w:t>R</w:t>
      </w:r>
      <w:r w:rsidR="0025791E">
        <w:t>007</w:t>
      </w:r>
      <w:r w:rsidR="0025791E">
        <w:rPr>
          <w:rFonts w:hint="eastAsia"/>
        </w:rPr>
        <w:t>和</w:t>
      </w:r>
      <w:r w:rsidR="0025791E">
        <w:rPr>
          <w:rFonts w:hint="eastAsia"/>
        </w:rPr>
        <w:t>D</w:t>
      </w:r>
      <w:r w:rsidR="0025791E">
        <w:t>R007</w:t>
      </w:r>
      <w:r w:rsidR="0025791E">
        <w:rPr>
          <w:rFonts w:hint="eastAsia"/>
        </w:rPr>
        <w:t>分别下行</w:t>
      </w:r>
      <w:r w:rsidR="0025791E">
        <w:rPr>
          <w:rFonts w:hint="eastAsia"/>
        </w:rPr>
        <w:t>7</w:t>
      </w:r>
      <w:r w:rsidR="0025791E">
        <w:t>.2</w:t>
      </w:r>
      <w:r w:rsidR="0025791E">
        <w:rPr>
          <w:rFonts w:hint="eastAsia"/>
        </w:rPr>
        <w:t>B</w:t>
      </w:r>
      <w:r w:rsidR="0025791E">
        <w:t>P</w:t>
      </w:r>
      <w:r w:rsidR="0025791E">
        <w:rPr>
          <w:rFonts w:hint="eastAsia"/>
        </w:rPr>
        <w:t>、</w:t>
      </w:r>
      <w:r w:rsidR="0025791E">
        <w:rPr>
          <w:rFonts w:hint="eastAsia"/>
        </w:rPr>
        <w:t>1</w:t>
      </w:r>
      <w:r w:rsidR="0025791E">
        <w:t>0.0BP</w:t>
      </w:r>
      <w:r w:rsidR="0025791E">
        <w:rPr>
          <w:rFonts w:hint="eastAsia"/>
        </w:rPr>
        <w:t>至</w:t>
      </w:r>
      <w:r w:rsidR="0025791E">
        <w:rPr>
          <w:rFonts w:hint="eastAsia"/>
        </w:rPr>
        <w:t>2</w:t>
      </w:r>
      <w:r w:rsidR="0025791E">
        <w:t>.14</w:t>
      </w:r>
      <w:r w:rsidR="0025791E">
        <w:rPr>
          <w:rFonts w:hint="eastAsia"/>
        </w:rPr>
        <w:t>%</w:t>
      </w:r>
      <w:r w:rsidR="0025791E">
        <w:rPr>
          <w:rFonts w:hint="eastAsia"/>
        </w:rPr>
        <w:t>和</w:t>
      </w:r>
      <w:r w:rsidR="0025791E">
        <w:rPr>
          <w:rFonts w:hint="eastAsia"/>
        </w:rPr>
        <w:t>2</w:t>
      </w:r>
      <w:r w:rsidR="0025791E">
        <w:t>.09</w:t>
      </w:r>
      <w:r w:rsidR="0025791E">
        <w:rPr>
          <w:rFonts w:hint="eastAsia"/>
        </w:rPr>
        <w:t>%</w:t>
      </w:r>
      <w:r w:rsidR="0025791E">
        <w:rPr>
          <w:rFonts w:hint="eastAsia"/>
        </w:rPr>
        <w:t>。具体来看，</w:t>
      </w:r>
      <w:r w:rsidR="007851A6">
        <w:rPr>
          <w:rFonts w:hint="eastAsia"/>
        </w:rPr>
        <w:t>上半周资金面宽松带动利率下行，</w:t>
      </w:r>
      <w:r w:rsidR="0025791E">
        <w:rPr>
          <w:rFonts w:hint="eastAsia"/>
        </w:rPr>
        <w:t>R</w:t>
      </w:r>
      <w:r w:rsidR="0025791E">
        <w:t>007</w:t>
      </w:r>
      <w:r w:rsidR="0025791E">
        <w:rPr>
          <w:rFonts w:hint="eastAsia"/>
        </w:rPr>
        <w:t>和</w:t>
      </w:r>
      <w:r w:rsidR="0025791E">
        <w:rPr>
          <w:rFonts w:hint="eastAsia"/>
        </w:rPr>
        <w:t>D</w:t>
      </w:r>
      <w:r w:rsidR="0025791E">
        <w:t>R007</w:t>
      </w:r>
      <w:r w:rsidR="0025791E">
        <w:rPr>
          <w:rFonts w:hint="eastAsia"/>
        </w:rPr>
        <w:t>在周三分别降至</w:t>
      </w:r>
      <w:r w:rsidR="0025791E">
        <w:t>2</w:t>
      </w:r>
      <w:r w:rsidR="0025791E">
        <w:rPr>
          <w:rFonts w:hint="eastAsia"/>
        </w:rPr>
        <w:t>.0</w:t>
      </w:r>
      <w:r w:rsidR="0025791E">
        <w:t>9</w:t>
      </w:r>
      <w:r w:rsidR="0025791E">
        <w:rPr>
          <w:rFonts w:hint="eastAsia"/>
        </w:rPr>
        <w:t>%</w:t>
      </w:r>
      <w:r w:rsidR="0025791E">
        <w:rPr>
          <w:rFonts w:hint="eastAsia"/>
        </w:rPr>
        <w:t>和</w:t>
      </w:r>
      <w:r w:rsidR="0025791E">
        <w:rPr>
          <w:rFonts w:hint="eastAsia"/>
        </w:rPr>
        <w:t>2</w:t>
      </w:r>
      <w:r w:rsidR="0025791E">
        <w:t>.01</w:t>
      </w:r>
      <w:r w:rsidR="0025791E">
        <w:rPr>
          <w:rFonts w:hint="eastAsia"/>
        </w:rPr>
        <w:t>%</w:t>
      </w:r>
      <w:r w:rsidR="0025791E">
        <w:rPr>
          <w:rFonts w:hint="eastAsia"/>
        </w:rPr>
        <w:t>的周内低点，一方面因为周一是</w:t>
      </w:r>
      <w:r w:rsidR="0025791E">
        <w:rPr>
          <w:rFonts w:hint="eastAsia"/>
        </w:rPr>
        <w:t>8</w:t>
      </w:r>
      <w:r w:rsidR="0025791E">
        <w:rPr>
          <w:rFonts w:hint="eastAsia"/>
        </w:rPr>
        <w:t>月缴税截止日，税期过后资金面转松；另一方面，央行缩量续作</w:t>
      </w:r>
      <w:r w:rsidR="0025791E" w:rsidRPr="00E97722">
        <w:rPr>
          <w:rFonts w:hint="eastAsia"/>
        </w:rPr>
        <w:t>6</w:t>
      </w:r>
      <w:r w:rsidR="0025791E" w:rsidRPr="00E97722">
        <w:t>000</w:t>
      </w:r>
      <w:r w:rsidR="0025791E" w:rsidRPr="00E97722">
        <w:rPr>
          <w:rFonts w:hint="eastAsia"/>
        </w:rPr>
        <w:t>亿元</w:t>
      </w:r>
      <w:r w:rsidR="0025791E">
        <w:rPr>
          <w:rFonts w:hint="eastAsia"/>
        </w:rPr>
        <w:t>M</w:t>
      </w:r>
      <w:r w:rsidR="0025791E">
        <w:t>LF</w:t>
      </w:r>
      <w:r w:rsidR="0025791E">
        <w:rPr>
          <w:rFonts w:hint="eastAsia"/>
        </w:rPr>
        <w:t>，略超出市场普遍预期的</w:t>
      </w:r>
      <w:r w:rsidR="0025791E">
        <w:t>3000</w:t>
      </w:r>
      <w:r w:rsidR="0025791E">
        <w:rPr>
          <w:rFonts w:hint="eastAsia"/>
        </w:rPr>
        <w:t>-</w:t>
      </w:r>
      <w:r w:rsidR="0025791E">
        <w:t>5000</w:t>
      </w:r>
      <w:r w:rsidR="0025791E">
        <w:rPr>
          <w:rFonts w:hint="eastAsia"/>
        </w:rPr>
        <w:t>亿元。周四、周五资金利率小幅反弹，主要</w:t>
      </w:r>
      <w:r w:rsidR="00092F7B">
        <w:rPr>
          <w:rFonts w:hint="eastAsia"/>
        </w:rPr>
        <w:t>受到地方债供给放量，</w:t>
      </w:r>
      <w:r w:rsidR="0025791E">
        <w:rPr>
          <w:rFonts w:hint="eastAsia"/>
        </w:rPr>
        <w:t>资金面</w:t>
      </w:r>
      <w:r w:rsidR="007E3B42">
        <w:rPr>
          <w:rFonts w:hint="eastAsia"/>
        </w:rPr>
        <w:t>边际</w:t>
      </w:r>
      <w:r w:rsidR="0025791E">
        <w:rPr>
          <w:rFonts w:hint="eastAsia"/>
        </w:rPr>
        <w:t>趋</w:t>
      </w:r>
      <w:r w:rsidR="0025791E">
        <w:rPr>
          <w:rFonts w:hint="eastAsia"/>
        </w:rPr>
        <w:lastRenderedPageBreak/>
        <w:t>紧影响。</w:t>
      </w:r>
      <w:r w:rsidR="006953C0">
        <w:rPr>
          <w:rFonts w:hint="eastAsia"/>
        </w:rPr>
        <w:t>周五，</w:t>
      </w:r>
      <w:r w:rsidR="00A01F2F" w:rsidRPr="00A5369B">
        <w:rPr>
          <w:rFonts w:hint="eastAsia"/>
        </w:rPr>
        <w:t>DR007</w:t>
      </w:r>
      <w:r w:rsidR="00A01F2F" w:rsidRPr="00A5369B">
        <w:rPr>
          <w:rFonts w:hint="eastAsia"/>
        </w:rPr>
        <w:t>与</w:t>
      </w:r>
      <w:r w:rsidR="004529A4">
        <w:rPr>
          <w:rFonts w:hint="eastAsia"/>
        </w:rPr>
        <w:t>7</w:t>
      </w:r>
      <w:r w:rsidR="004529A4">
        <w:rPr>
          <w:rFonts w:hint="eastAsia"/>
        </w:rPr>
        <w:t>天</w:t>
      </w:r>
      <w:r w:rsidR="00EC371C">
        <w:rPr>
          <w:rFonts w:hint="eastAsia"/>
        </w:rPr>
        <w:t>O</w:t>
      </w:r>
      <w:r w:rsidR="00EC371C">
        <w:t>MO</w:t>
      </w:r>
      <w:r w:rsidR="00A01F2F" w:rsidRPr="00A5369B">
        <w:rPr>
          <w:rFonts w:hint="eastAsia"/>
        </w:rPr>
        <w:t>利率</w:t>
      </w:r>
      <w:r w:rsidR="00A01F2F">
        <w:rPr>
          <w:rFonts w:hint="eastAsia"/>
        </w:rPr>
        <w:t>的</w:t>
      </w:r>
      <w:r w:rsidR="00A01F2F" w:rsidRPr="00A5369B">
        <w:rPr>
          <w:rFonts w:hint="eastAsia"/>
        </w:rPr>
        <w:t>利差</w:t>
      </w:r>
      <w:r w:rsidR="006953C0">
        <w:rPr>
          <w:rFonts w:hint="eastAsia"/>
        </w:rPr>
        <w:t>为</w:t>
      </w:r>
      <w:r w:rsidR="00A01F2F">
        <w:rPr>
          <w:rFonts w:hint="eastAsia"/>
        </w:rPr>
        <w:t>1</w:t>
      </w:r>
      <w:r w:rsidR="00A01F2F">
        <w:t>1BP</w:t>
      </w:r>
      <w:r w:rsidR="00A01F2F" w:rsidRPr="00A5369B">
        <w:rPr>
          <w:rFonts w:hint="eastAsia"/>
        </w:rPr>
        <w:t>，显示银行间市场流动性</w:t>
      </w:r>
      <w:r w:rsidR="006953C0">
        <w:rPr>
          <w:rFonts w:hint="eastAsia"/>
        </w:rPr>
        <w:t>较为充裕。</w:t>
      </w:r>
    </w:p>
    <w:p w14:paraId="40107743" w14:textId="77777777" w:rsidR="009963B1" w:rsidRDefault="009963B1" w:rsidP="009963B1">
      <w:pPr>
        <w:ind w:left="3681"/>
      </w:pPr>
    </w:p>
    <w:p w14:paraId="70483644" w14:textId="4681C98F" w:rsidR="00FA4C66" w:rsidRDefault="006C4477" w:rsidP="009963B1">
      <w:pPr>
        <w:ind w:left="3681"/>
      </w:pPr>
      <w:r w:rsidRPr="006C4477">
        <w:rPr>
          <w:rFonts w:hint="eastAsia"/>
          <w:b/>
          <w:bCs/>
        </w:rPr>
        <w:t>资金利率持续倒挂，债市交易</w:t>
      </w:r>
      <w:r w:rsidR="00C01B97">
        <w:rPr>
          <w:rFonts w:hint="eastAsia"/>
          <w:b/>
          <w:bCs/>
        </w:rPr>
        <w:t>情绪升温</w:t>
      </w:r>
      <w:r w:rsidRPr="006C4477">
        <w:rPr>
          <w:rFonts w:hint="eastAsia"/>
          <w:b/>
          <w:bCs/>
        </w:rPr>
        <w:t>。</w:t>
      </w:r>
      <w:r w:rsidR="002A6298">
        <w:rPr>
          <w:rFonts w:hint="eastAsia"/>
        </w:rPr>
        <w:t>7</w:t>
      </w:r>
      <w:r w:rsidR="002A6298">
        <w:rPr>
          <w:rFonts w:hint="eastAsia"/>
        </w:rPr>
        <w:t>月</w:t>
      </w:r>
      <w:r w:rsidR="006953C0">
        <w:rPr>
          <w:rFonts w:hint="eastAsia"/>
        </w:rPr>
        <w:t>1</w:t>
      </w:r>
      <w:r w:rsidR="006953C0">
        <w:t>5</w:t>
      </w:r>
      <w:r w:rsidR="00813BB7">
        <w:rPr>
          <w:rFonts w:hint="eastAsia"/>
        </w:rPr>
        <w:t>日，央行</w:t>
      </w:r>
      <w:r w:rsidR="006953C0">
        <w:rPr>
          <w:rFonts w:hint="eastAsia"/>
        </w:rPr>
        <w:t>实行</w:t>
      </w:r>
      <w:r w:rsidR="00813BB7">
        <w:rPr>
          <w:rFonts w:hint="eastAsia"/>
        </w:rPr>
        <w:t>全面</w:t>
      </w:r>
      <w:r w:rsidR="002A6298">
        <w:rPr>
          <w:rFonts w:hint="eastAsia"/>
        </w:rPr>
        <w:t>降准后</w:t>
      </w:r>
      <w:r w:rsidR="00AC681A">
        <w:rPr>
          <w:rFonts w:hint="eastAsia"/>
        </w:rPr>
        <w:t>，</w:t>
      </w:r>
      <w:r w:rsidR="006953C0">
        <w:rPr>
          <w:rFonts w:hint="eastAsia"/>
        </w:rPr>
        <w:t>市场流行性宽松、</w:t>
      </w:r>
      <w:r w:rsidR="00AC681A">
        <w:rPr>
          <w:rFonts w:hint="eastAsia"/>
        </w:rPr>
        <w:t>银行负债端成本降低</w:t>
      </w:r>
      <w:r w:rsidR="002A6298">
        <w:rPr>
          <w:rFonts w:hint="eastAsia"/>
        </w:rPr>
        <w:t>，</w:t>
      </w:r>
      <w:r w:rsidR="00A01F2F" w:rsidRPr="003B3429">
        <w:rPr>
          <w:rFonts w:hint="eastAsia"/>
        </w:rPr>
        <w:t>存单</w:t>
      </w:r>
      <w:r w:rsidR="002A6298">
        <w:rPr>
          <w:rFonts w:hint="eastAsia"/>
        </w:rPr>
        <w:t>利率持续下行，</w:t>
      </w:r>
      <w:r w:rsidR="00AC681A">
        <w:rPr>
          <w:rFonts w:hint="eastAsia"/>
        </w:rPr>
        <w:t>而本</w:t>
      </w:r>
      <w:r w:rsidR="007E3B42">
        <w:rPr>
          <w:rFonts w:hint="eastAsia"/>
        </w:rPr>
        <w:t>周</w:t>
      </w:r>
      <w:r w:rsidR="00AC681A">
        <w:rPr>
          <w:rFonts w:hint="eastAsia"/>
        </w:rPr>
        <w:t>央行并未下调</w:t>
      </w:r>
      <w:r w:rsidR="00AC681A">
        <w:rPr>
          <w:rFonts w:hint="eastAsia"/>
        </w:rPr>
        <w:t>M</w:t>
      </w:r>
      <w:r w:rsidR="00AC681A">
        <w:t>LF</w:t>
      </w:r>
      <w:r w:rsidR="00AC681A">
        <w:rPr>
          <w:rFonts w:hint="eastAsia"/>
        </w:rPr>
        <w:t>利率，</w:t>
      </w:r>
      <w:r w:rsidR="002A6298">
        <w:rPr>
          <w:rFonts w:hint="eastAsia"/>
        </w:rPr>
        <w:t>周五</w:t>
      </w:r>
      <w:r w:rsidR="00AC681A">
        <w:rPr>
          <w:rFonts w:hint="eastAsia"/>
        </w:rPr>
        <w:t>1</w:t>
      </w:r>
      <w:r w:rsidR="00AC681A">
        <w:rPr>
          <w:rFonts w:hint="eastAsia"/>
        </w:rPr>
        <w:t>年期</w:t>
      </w:r>
      <w:r w:rsidR="00AC681A" w:rsidRPr="003B3429">
        <w:rPr>
          <w:rFonts w:hint="eastAsia"/>
        </w:rPr>
        <w:t>存单</w:t>
      </w:r>
      <w:r w:rsidR="00AC681A">
        <w:rPr>
          <w:rFonts w:hint="eastAsia"/>
        </w:rPr>
        <w:t>利率</w:t>
      </w:r>
      <w:r w:rsidR="002A6298">
        <w:rPr>
          <w:rFonts w:hint="eastAsia"/>
        </w:rPr>
        <w:t>与</w:t>
      </w:r>
      <w:r w:rsidR="00A01F2F" w:rsidRPr="003B3429">
        <w:rPr>
          <w:rFonts w:hint="eastAsia"/>
        </w:rPr>
        <w:t>MLF</w:t>
      </w:r>
      <w:r w:rsidR="00A01F2F" w:rsidRPr="003B3429">
        <w:rPr>
          <w:rFonts w:hint="eastAsia"/>
        </w:rPr>
        <w:t>利率</w:t>
      </w:r>
      <w:r w:rsidR="00EC371C">
        <w:rPr>
          <w:rFonts w:hint="eastAsia"/>
        </w:rPr>
        <w:t>的利差扩大至</w:t>
      </w:r>
      <w:r w:rsidR="00EC371C">
        <w:rPr>
          <w:rFonts w:hint="eastAsia"/>
        </w:rPr>
        <w:t>2</w:t>
      </w:r>
      <w:r w:rsidR="00EC371C">
        <w:t>7BP</w:t>
      </w:r>
      <w:r w:rsidR="006953C0">
        <w:rPr>
          <w:rFonts w:hint="eastAsia"/>
        </w:rPr>
        <w:t>。</w:t>
      </w:r>
      <w:r w:rsidR="00FA4C66">
        <w:rPr>
          <w:rFonts w:hint="eastAsia"/>
        </w:rPr>
        <w:t>本周</w:t>
      </w:r>
      <w:r w:rsidR="00A01F2F" w:rsidRPr="003B3429">
        <w:rPr>
          <w:rFonts w:hint="eastAsia"/>
        </w:rPr>
        <w:t>银行间质押式回购成交量</w:t>
      </w:r>
      <w:r w:rsidR="00FA4C66">
        <w:rPr>
          <w:rFonts w:hint="eastAsia"/>
        </w:rPr>
        <w:t>均值</w:t>
      </w:r>
      <w:r w:rsidR="00FA4C66">
        <w:rPr>
          <w:rFonts w:hint="eastAsia"/>
        </w:rPr>
        <w:t>4</w:t>
      </w:r>
      <w:r w:rsidR="00FA4C66">
        <w:t>.4</w:t>
      </w:r>
      <w:r w:rsidR="00FA4C66">
        <w:rPr>
          <w:rFonts w:hint="eastAsia"/>
        </w:rPr>
        <w:t>万亿元，较上周</w:t>
      </w:r>
      <w:r w:rsidR="00FA4C66">
        <w:rPr>
          <w:rFonts w:hint="eastAsia"/>
        </w:rPr>
        <w:t>4</w:t>
      </w:r>
      <w:r w:rsidR="00FA4C66">
        <w:t>.1</w:t>
      </w:r>
      <w:r w:rsidR="00FA4C66">
        <w:rPr>
          <w:rFonts w:hint="eastAsia"/>
        </w:rPr>
        <w:t>万亿的水平明显回升</w:t>
      </w:r>
      <w:r w:rsidR="00A01F2F" w:rsidRPr="003B3429">
        <w:rPr>
          <w:rFonts w:hint="eastAsia"/>
        </w:rPr>
        <w:t>，</w:t>
      </w:r>
      <w:r w:rsidR="00FA4C66">
        <w:rPr>
          <w:rFonts w:hint="eastAsia"/>
        </w:rPr>
        <w:t>隔夜回购成交量占比均值</w:t>
      </w:r>
      <w:r w:rsidR="00FA4C66">
        <w:rPr>
          <w:rFonts w:hint="eastAsia"/>
        </w:rPr>
        <w:t>8</w:t>
      </w:r>
      <w:r w:rsidR="00FA4C66">
        <w:t>7.7</w:t>
      </w:r>
      <w:r w:rsidR="00FA4C66">
        <w:rPr>
          <w:rFonts w:hint="eastAsia"/>
        </w:rPr>
        <w:t>%</w:t>
      </w:r>
      <w:r w:rsidR="00FA4C66">
        <w:rPr>
          <w:rFonts w:hint="eastAsia"/>
        </w:rPr>
        <w:t>，较上周上涨</w:t>
      </w:r>
      <w:r w:rsidR="00FA4C66">
        <w:rPr>
          <w:rFonts w:hint="eastAsia"/>
        </w:rPr>
        <w:t>1</w:t>
      </w:r>
      <w:r w:rsidR="00FA4C66">
        <w:t>.3</w:t>
      </w:r>
      <w:r w:rsidR="00FA4C66">
        <w:rPr>
          <w:rFonts w:hint="eastAsia"/>
        </w:rPr>
        <w:t>个百分点，显示债市加杠杆情绪</w:t>
      </w:r>
      <w:r w:rsidR="00D71A5D">
        <w:rPr>
          <w:rFonts w:hint="eastAsia"/>
        </w:rPr>
        <w:t>升温。</w:t>
      </w:r>
    </w:p>
    <w:p w14:paraId="07533149" w14:textId="77777777" w:rsidR="007E3B42" w:rsidRDefault="007E3B42" w:rsidP="009963B1">
      <w:pPr>
        <w:ind w:left="3681"/>
      </w:pPr>
    </w:p>
    <w:tbl>
      <w:tblPr>
        <w:tblStyle w:val="af"/>
        <w:tblW w:w="10274" w:type="dxa"/>
        <w:tblInd w:w="-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6"/>
        <w:gridCol w:w="222"/>
        <w:gridCol w:w="5026"/>
      </w:tblGrid>
      <w:tr w:rsidR="00816F18" w:rsidRPr="00D85A79" w14:paraId="3042166D" w14:textId="77777777" w:rsidTr="00883778">
        <w:trPr>
          <w:trHeight w:val="113"/>
        </w:trPr>
        <w:tc>
          <w:tcPr>
            <w:tcW w:w="5026" w:type="dxa"/>
            <w:tcBorders>
              <w:top w:val="single" w:sz="12" w:space="0" w:color="C00000"/>
              <w:bottom w:val="single" w:sz="2" w:space="0" w:color="C00000"/>
            </w:tcBorders>
            <w:shd w:val="clear" w:color="auto" w:fill="auto"/>
          </w:tcPr>
          <w:p w14:paraId="11DA6BC9" w14:textId="40BBF09D" w:rsidR="00816F18" w:rsidRPr="00D85A79" w:rsidRDefault="00816F18" w:rsidP="00883778">
            <w:pPr>
              <w:rPr>
                <w:rFonts w:cs="Arial"/>
                <w:b/>
                <w:i/>
                <w:color w:val="C00000"/>
              </w:rPr>
            </w:pPr>
            <w:bookmarkStart w:id="50" w:name="_Toc80478244"/>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w:instrText>
            </w:r>
            <w:r w:rsidRPr="00D85A79">
              <w:rPr>
                <w:rFonts w:cs="Arial" w:hint="eastAsia"/>
                <w:b/>
                <w:i/>
                <w:color w:val="C00000"/>
              </w:rPr>
              <w:instrText xml:space="preserve">SEQ </w:instrText>
            </w:r>
            <w:r w:rsidRPr="00D85A79">
              <w:rPr>
                <w:rFonts w:cs="Arial" w:hint="eastAsia"/>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10</w:t>
            </w:r>
            <w:r w:rsidRPr="00D85A79">
              <w:rPr>
                <w:rFonts w:cs="Arial"/>
                <w:b/>
                <w:i/>
                <w:color w:val="C00000"/>
              </w:rPr>
              <w:fldChar w:fldCharType="end"/>
            </w:r>
            <w:r w:rsidRPr="00D85A79">
              <w:rPr>
                <w:rFonts w:cs="Arial" w:hint="eastAsia"/>
                <w:b/>
                <w:i/>
                <w:color w:val="C00000"/>
              </w:rPr>
              <w:t>：</w:t>
            </w:r>
            <w:r w:rsidRPr="00834EF4">
              <w:rPr>
                <w:rFonts w:cs="Arial" w:hint="eastAsia"/>
                <w:b/>
                <w:i/>
                <w:color w:val="C00000"/>
              </w:rPr>
              <w:t>本周资金利率</w:t>
            </w:r>
            <w:r>
              <w:rPr>
                <w:rFonts w:cs="Arial" w:hint="eastAsia"/>
                <w:b/>
                <w:i/>
                <w:color w:val="C00000"/>
              </w:rPr>
              <w:t>先下后上</w:t>
            </w:r>
            <w:r w:rsidRPr="00834EF4">
              <w:rPr>
                <w:rFonts w:cs="Arial" w:hint="eastAsia"/>
                <w:b/>
                <w:i/>
                <w:color w:val="C00000"/>
              </w:rPr>
              <w:t>（</w:t>
            </w:r>
            <w:r w:rsidRPr="00834EF4">
              <w:rPr>
                <w:rFonts w:cs="Arial" w:hint="eastAsia"/>
                <w:b/>
                <w:i/>
                <w:color w:val="C00000"/>
              </w:rPr>
              <w:t>%</w:t>
            </w:r>
            <w:r w:rsidRPr="00834EF4">
              <w:rPr>
                <w:rFonts w:cs="Arial" w:hint="eastAsia"/>
                <w:b/>
                <w:i/>
                <w:color w:val="C00000"/>
              </w:rPr>
              <w:t>）</w:t>
            </w:r>
            <w:bookmarkEnd w:id="50"/>
          </w:p>
        </w:tc>
        <w:tc>
          <w:tcPr>
            <w:tcW w:w="222" w:type="dxa"/>
            <w:shd w:val="clear" w:color="auto" w:fill="auto"/>
          </w:tcPr>
          <w:p w14:paraId="0365C20F" w14:textId="77777777" w:rsidR="00816F18" w:rsidRPr="00D85A79" w:rsidRDefault="00816F18" w:rsidP="00883778">
            <w:pPr>
              <w:jc w:val="left"/>
              <w:rPr>
                <w:rFonts w:ascii="楷体" w:eastAsia="楷体" w:hAnsi="楷体"/>
                <w:color w:val="FF0000"/>
              </w:rPr>
            </w:pPr>
          </w:p>
        </w:tc>
        <w:tc>
          <w:tcPr>
            <w:tcW w:w="5026" w:type="dxa"/>
            <w:tcBorders>
              <w:top w:val="single" w:sz="12" w:space="0" w:color="C00000"/>
              <w:bottom w:val="single" w:sz="2" w:space="0" w:color="C00000"/>
            </w:tcBorders>
            <w:shd w:val="clear" w:color="auto" w:fill="auto"/>
          </w:tcPr>
          <w:p w14:paraId="71D26A3A" w14:textId="7F598A95" w:rsidR="00816F18" w:rsidRPr="00D85A79" w:rsidRDefault="00816F18" w:rsidP="00883778">
            <w:pPr>
              <w:jc w:val="left"/>
              <w:rPr>
                <w:rFonts w:cs="Arial"/>
                <w:b/>
                <w:i/>
                <w:color w:val="C00000"/>
              </w:rPr>
            </w:pPr>
            <w:bookmarkStart w:id="51" w:name="_Toc80478245"/>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w:instrText>
            </w:r>
            <w:r w:rsidRPr="00D85A79">
              <w:rPr>
                <w:rFonts w:cs="Arial" w:hint="eastAsia"/>
                <w:b/>
                <w:i/>
                <w:color w:val="C00000"/>
              </w:rPr>
              <w:instrText xml:space="preserve">SEQ </w:instrText>
            </w:r>
            <w:r w:rsidRPr="00D85A79">
              <w:rPr>
                <w:rFonts w:cs="Arial" w:hint="eastAsia"/>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11</w:t>
            </w:r>
            <w:r w:rsidRPr="00D85A79">
              <w:rPr>
                <w:rFonts w:cs="Arial"/>
                <w:b/>
                <w:i/>
                <w:color w:val="C00000"/>
              </w:rPr>
              <w:fldChar w:fldCharType="end"/>
            </w:r>
            <w:r w:rsidRPr="00D85A79">
              <w:rPr>
                <w:rFonts w:cs="Arial" w:hint="eastAsia"/>
                <w:b/>
                <w:i/>
                <w:color w:val="C00000"/>
              </w:rPr>
              <w:t>：央行公开市场操作变化（</w:t>
            </w:r>
            <w:r w:rsidRPr="00D85A79">
              <w:rPr>
                <w:rFonts w:cs="Arial" w:hint="eastAsia"/>
                <w:b/>
                <w:i/>
                <w:color w:val="C00000"/>
              </w:rPr>
              <w:t>O</w:t>
            </w:r>
            <w:r w:rsidRPr="00D85A79">
              <w:rPr>
                <w:rFonts w:cs="Arial"/>
                <w:b/>
                <w:i/>
                <w:color w:val="C00000"/>
              </w:rPr>
              <w:t>MO</w:t>
            </w:r>
            <w:r w:rsidRPr="00D85A79">
              <w:rPr>
                <w:rFonts w:cs="Arial" w:hint="eastAsia"/>
                <w:b/>
                <w:i/>
                <w:color w:val="C00000"/>
              </w:rPr>
              <w:t>+</w:t>
            </w:r>
            <w:r w:rsidRPr="00D85A79">
              <w:rPr>
                <w:rFonts w:cs="Arial"/>
                <w:b/>
                <w:i/>
                <w:color w:val="C00000"/>
              </w:rPr>
              <w:t>MLF</w:t>
            </w:r>
            <w:r w:rsidRPr="00D85A79">
              <w:rPr>
                <w:rFonts w:cs="Arial" w:hint="eastAsia"/>
                <w:b/>
                <w:i/>
                <w:color w:val="C00000"/>
              </w:rPr>
              <w:t>+</w:t>
            </w:r>
            <w:r w:rsidRPr="00D85A79">
              <w:rPr>
                <w:rFonts w:cs="Arial" w:hint="eastAsia"/>
                <w:b/>
                <w:i/>
                <w:color w:val="C00000"/>
              </w:rPr>
              <w:t>国库现金定存、亿元）</w:t>
            </w:r>
            <w:bookmarkEnd w:id="51"/>
          </w:p>
        </w:tc>
      </w:tr>
      <w:tr w:rsidR="00816F18" w:rsidRPr="00D85A79" w14:paraId="537BCFEE" w14:textId="77777777" w:rsidTr="00883778">
        <w:trPr>
          <w:trHeight w:val="2999"/>
        </w:trPr>
        <w:tc>
          <w:tcPr>
            <w:tcW w:w="5026" w:type="dxa"/>
            <w:tcBorders>
              <w:top w:val="single" w:sz="2" w:space="0" w:color="C00000"/>
              <w:bottom w:val="single" w:sz="2" w:space="0" w:color="C00000"/>
            </w:tcBorders>
            <w:shd w:val="clear" w:color="auto" w:fill="auto"/>
          </w:tcPr>
          <w:p w14:paraId="7263280A" w14:textId="1025EBF7" w:rsidR="00816F18" w:rsidRPr="00D85A79" w:rsidRDefault="00816F18" w:rsidP="00883778">
            <w:r w:rsidRPr="00304BDB">
              <w:rPr>
                <w:noProof/>
              </w:rPr>
              <w:drawing>
                <wp:inline distT="0" distB="0" distL="0" distR="0" wp14:anchorId="19DA2485" wp14:editId="60B7C839">
                  <wp:extent cx="3054350" cy="2152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c>
          <w:tcPr>
            <w:tcW w:w="222" w:type="dxa"/>
            <w:shd w:val="clear" w:color="auto" w:fill="auto"/>
          </w:tcPr>
          <w:p w14:paraId="6103FCAB" w14:textId="77777777" w:rsidR="00816F18" w:rsidRPr="00D85A79" w:rsidRDefault="00816F18" w:rsidP="00883778">
            <w:pPr>
              <w:jc w:val="left"/>
            </w:pPr>
          </w:p>
        </w:tc>
        <w:tc>
          <w:tcPr>
            <w:tcW w:w="5026" w:type="dxa"/>
            <w:tcBorders>
              <w:top w:val="single" w:sz="2" w:space="0" w:color="C00000"/>
              <w:bottom w:val="single" w:sz="2" w:space="0" w:color="C00000"/>
            </w:tcBorders>
            <w:shd w:val="clear" w:color="auto" w:fill="auto"/>
          </w:tcPr>
          <w:p w14:paraId="710121D5" w14:textId="703A9B50" w:rsidR="00816F18" w:rsidRPr="00D85A79" w:rsidRDefault="00816F18" w:rsidP="00883778">
            <w:pPr>
              <w:jc w:val="left"/>
            </w:pPr>
            <w:r w:rsidRPr="009844AF">
              <w:rPr>
                <w:noProof/>
              </w:rPr>
              <w:drawing>
                <wp:inline distT="0" distB="0" distL="0" distR="0" wp14:anchorId="136530D8" wp14:editId="2C0F8DC9">
                  <wp:extent cx="3054350" cy="2152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r>
      <w:tr w:rsidR="00816F18" w:rsidRPr="00D85A79" w14:paraId="7A14FB58" w14:textId="77777777" w:rsidTr="00883778">
        <w:trPr>
          <w:trHeight w:val="113"/>
        </w:trPr>
        <w:tc>
          <w:tcPr>
            <w:tcW w:w="5026" w:type="dxa"/>
            <w:tcBorders>
              <w:top w:val="single" w:sz="2" w:space="0" w:color="C00000"/>
            </w:tcBorders>
            <w:shd w:val="clear" w:color="auto" w:fill="auto"/>
          </w:tcPr>
          <w:p w14:paraId="4FE4B880" w14:textId="77777777" w:rsidR="00816F18" w:rsidRPr="00D85A79" w:rsidRDefault="00816F18" w:rsidP="00883778">
            <w:pPr>
              <w:jc w:val="left"/>
              <w:rPr>
                <w:rFonts w:ascii="楷体" w:eastAsia="楷体" w:hAnsi="楷体"/>
                <w:color w:val="C00000"/>
                <w:sz w:val="15"/>
              </w:rPr>
            </w:pPr>
            <w:r w:rsidRPr="00D85A79">
              <w:rPr>
                <w:rFonts w:ascii="楷体" w:eastAsia="楷体" w:hAnsi="楷体" w:hint="eastAsia"/>
                <w:color w:val="C00000"/>
                <w:sz w:val="15"/>
              </w:rPr>
              <w:t>来源：W</w:t>
            </w:r>
            <w:r w:rsidRPr="00D85A79">
              <w:rPr>
                <w:rFonts w:ascii="楷体" w:eastAsia="楷体" w:hAnsi="楷体"/>
                <w:color w:val="C00000"/>
                <w:sz w:val="15"/>
              </w:rPr>
              <w:t>IND</w:t>
            </w:r>
            <w:r w:rsidRPr="00D85A79">
              <w:rPr>
                <w:rFonts w:ascii="楷体" w:eastAsia="楷体" w:hAnsi="楷体" w:hint="eastAsia"/>
                <w:color w:val="C00000"/>
                <w:sz w:val="15"/>
              </w:rPr>
              <w:t>，中泰证券研究所</w:t>
            </w:r>
          </w:p>
        </w:tc>
        <w:tc>
          <w:tcPr>
            <w:tcW w:w="222" w:type="dxa"/>
            <w:shd w:val="clear" w:color="auto" w:fill="auto"/>
          </w:tcPr>
          <w:p w14:paraId="1486D494" w14:textId="77777777" w:rsidR="00816F18" w:rsidRPr="00D85A79" w:rsidRDefault="00816F18" w:rsidP="00883778">
            <w:pPr>
              <w:jc w:val="left"/>
              <w:rPr>
                <w:rFonts w:ascii="楷体" w:eastAsia="楷体" w:hAnsi="楷体"/>
                <w:color w:val="C00000"/>
                <w:sz w:val="15"/>
              </w:rPr>
            </w:pPr>
          </w:p>
        </w:tc>
        <w:tc>
          <w:tcPr>
            <w:tcW w:w="5026" w:type="dxa"/>
            <w:tcBorders>
              <w:top w:val="single" w:sz="2" w:space="0" w:color="C00000"/>
            </w:tcBorders>
            <w:shd w:val="clear" w:color="auto" w:fill="auto"/>
          </w:tcPr>
          <w:p w14:paraId="1395EF96" w14:textId="77777777" w:rsidR="00816F18" w:rsidRPr="00D85A79" w:rsidRDefault="00816F18" w:rsidP="00883778">
            <w:pPr>
              <w:jc w:val="left"/>
              <w:rPr>
                <w:rFonts w:ascii="楷体" w:eastAsia="楷体" w:hAnsi="楷体"/>
                <w:color w:val="C00000"/>
                <w:sz w:val="15"/>
              </w:rPr>
            </w:pPr>
            <w:r w:rsidRPr="00D85A79">
              <w:rPr>
                <w:rFonts w:ascii="楷体" w:eastAsia="楷体" w:hAnsi="楷体" w:hint="eastAsia"/>
                <w:color w:val="C00000"/>
                <w:sz w:val="15"/>
              </w:rPr>
              <w:t>来源：W</w:t>
            </w:r>
            <w:r w:rsidRPr="00D85A79">
              <w:rPr>
                <w:rFonts w:ascii="楷体" w:eastAsia="楷体" w:hAnsi="楷体"/>
                <w:color w:val="C00000"/>
                <w:sz w:val="15"/>
              </w:rPr>
              <w:t>IND</w:t>
            </w:r>
            <w:r w:rsidRPr="00D85A79">
              <w:rPr>
                <w:rFonts w:ascii="楷体" w:eastAsia="楷体" w:hAnsi="楷体" w:hint="eastAsia"/>
                <w:color w:val="C00000"/>
                <w:sz w:val="15"/>
              </w:rPr>
              <w:t>，中泰证券研究所</w:t>
            </w:r>
          </w:p>
        </w:tc>
      </w:tr>
    </w:tbl>
    <w:p w14:paraId="3730F389" w14:textId="77777777" w:rsidR="007E3B42" w:rsidRPr="00816F18" w:rsidRDefault="007E3B42" w:rsidP="001C4A15">
      <w:pPr>
        <w:ind w:left="3681"/>
      </w:pPr>
    </w:p>
    <w:tbl>
      <w:tblPr>
        <w:tblStyle w:val="af"/>
        <w:tblW w:w="10296" w:type="dxa"/>
        <w:tblInd w:w="-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222"/>
        <w:gridCol w:w="5046"/>
      </w:tblGrid>
      <w:tr w:rsidR="001F3C9F" w:rsidRPr="00D85A79" w14:paraId="65743537" w14:textId="77777777" w:rsidTr="00853941">
        <w:trPr>
          <w:trHeight w:val="113"/>
        </w:trPr>
        <w:tc>
          <w:tcPr>
            <w:tcW w:w="5028" w:type="dxa"/>
            <w:tcBorders>
              <w:top w:val="single" w:sz="12" w:space="0" w:color="C00000"/>
              <w:bottom w:val="single" w:sz="2" w:space="0" w:color="C00000"/>
            </w:tcBorders>
            <w:shd w:val="clear" w:color="auto" w:fill="auto"/>
          </w:tcPr>
          <w:p w14:paraId="24F83C16" w14:textId="40F00B26" w:rsidR="001F3C9F" w:rsidRPr="00D85A79" w:rsidRDefault="001F3C9F" w:rsidP="00853941">
            <w:pPr>
              <w:rPr>
                <w:rFonts w:cs="Arial"/>
                <w:b/>
                <w:i/>
                <w:color w:val="C00000"/>
              </w:rPr>
            </w:pPr>
            <w:bookmarkStart w:id="52" w:name="_Toc76232410"/>
            <w:bookmarkStart w:id="53" w:name="_Toc77436419"/>
            <w:bookmarkStart w:id="54" w:name="_Toc78032359"/>
            <w:bookmarkStart w:id="55" w:name="_Toc78046347"/>
            <w:bookmarkStart w:id="56" w:name="_Toc79269732"/>
            <w:bookmarkStart w:id="57" w:name="_Toc79333536"/>
            <w:bookmarkStart w:id="58" w:name="_Toc80478246"/>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SEQ </w:instrText>
            </w:r>
            <w:r w:rsidRPr="00D85A79">
              <w:rPr>
                <w:rFonts w:cs="Arial"/>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12</w:t>
            </w:r>
            <w:r w:rsidRPr="00D85A79">
              <w:rPr>
                <w:rFonts w:cs="Arial"/>
                <w:b/>
                <w:i/>
                <w:color w:val="C00000"/>
              </w:rPr>
              <w:fldChar w:fldCharType="end"/>
            </w:r>
            <w:r w:rsidRPr="00D85A79">
              <w:rPr>
                <w:rFonts w:cs="Arial" w:hint="eastAsia"/>
                <w:b/>
                <w:i/>
                <w:color w:val="C00000"/>
              </w:rPr>
              <w:t>：</w:t>
            </w:r>
            <w:r w:rsidRPr="00834EF4">
              <w:rPr>
                <w:rFonts w:cs="Arial" w:hint="eastAsia"/>
                <w:b/>
                <w:i/>
                <w:color w:val="C00000"/>
              </w:rPr>
              <w:t>存单利率与</w:t>
            </w:r>
            <w:r w:rsidR="00D828FE">
              <w:rPr>
                <w:rFonts w:cs="Arial" w:hint="eastAsia"/>
                <w:b/>
                <w:i/>
                <w:color w:val="C00000"/>
              </w:rPr>
              <w:t>M</w:t>
            </w:r>
            <w:r w:rsidR="00D828FE">
              <w:rPr>
                <w:rFonts w:cs="Arial"/>
                <w:b/>
                <w:i/>
                <w:color w:val="C00000"/>
              </w:rPr>
              <w:t>LF</w:t>
            </w:r>
            <w:r w:rsidRPr="00834EF4">
              <w:rPr>
                <w:rFonts w:cs="Arial" w:hint="eastAsia"/>
                <w:b/>
                <w:i/>
                <w:color w:val="C00000"/>
              </w:rPr>
              <w:t>利率倒挂</w:t>
            </w:r>
            <w:r w:rsidR="00D828FE">
              <w:rPr>
                <w:rFonts w:cs="Arial" w:hint="eastAsia"/>
                <w:b/>
                <w:i/>
                <w:color w:val="C00000"/>
              </w:rPr>
              <w:t>加深</w:t>
            </w:r>
            <w:r w:rsidRPr="00834EF4">
              <w:rPr>
                <w:rFonts w:cs="Arial" w:hint="eastAsia"/>
                <w:b/>
                <w:i/>
                <w:color w:val="C00000"/>
              </w:rPr>
              <w:t>（</w:t>
            </w:r>
            <w:r w:rsidRPr="00834EF4">
              <w:rPr>
                <w:rFonts w:cs="Arial" w:hint="eastAsia"/>
                <w:b/>
                <w:i/>
                <w:color w:val="C00000"/>
              </w:rPr>
              <w:t>%</w:t>
            </w:r>
            <w:r w:rsidRPr="00834EF4">
              <w:rPr>
                <w:rFonts w:cs="Arial" w:hint="eastAsia"/>
                <w:b/>
                <w:i/>
                <w:color w:val="C00000"/>
              </w:rPr>
              <w:t>）</w:t>
            </w:r>
            <w:bookmarkEnd w:id="52"/>
            <w:bookmarkEnd w:id="53"/>
            <w:bookmarkEnd w:id="54"/>
            <w:bookmarkEnd w:id="55"/>
            <w:bookmarkEnd w:id="56"/>
            <w:bookmarkEnd w:id="57"/>
            <w:bookmarkEnd w:id="58"/>
          </w:p>
        </w:tc>
        <w:tc>
          <w:tcPr>
            <w:tcW w:w="222" w:type="dxa"/>
            <w:shd w:val="clear" w:color="auto" w:fill="auto"/>
          </w:tcPr>
          <w:p w14:paraId="6225CC11" w14:textId="77777777" w:rsidR="001F3C9F" w:rsidRPr="00D85A79" w:rsidRDefault="001F3C9F" w:rsidP="00853941">
            <w:pPr>
              <w:jc w:val="left"/>
              <w:rPr>
                <w:rFonts w:ascii="楷体" w:eastAsia="楷体" w:hAnsi="楷体"/>
                <w:color w:val="FF0000"/>
              </w:rPr>
            </w:pPr>
          </w:p>
        </w:tc>
        <w:tc>
          <w:tcPr>
            <w:tcW w:w="5046" w:type="dxa"/>
            <w:tcBorders>
              <w:top w:val="single" w:sz="12" w:space="0" w:color="C00000"/>
              <w:bottom w:val="single" w:sz="2" w:space="0" w:color="C00000"/>
            </w:tcBorders>
            <w:shd w:val="clear" w:color="auto" w:fill="auto"/>
          </w:tcPr>
          <w:p w14:paraId="5F128B3B" w14:textId="07117C56" w:rsidR="001F3C9F" w:rsidRPr="00D85A79" w:rsidRDefault="001F3C9F" w:rsidP="00853941">
            <w:pPr>
              <w:jc w:val="left"/>
              <w:rPr>
                <w:rFonts w:cs="Arial"/>
                <w:b/>
                <w:i/>
                <w:color w:val="C00000"/>
              </w:rPr>
            </w:pPr>
            <w:bookmarkStart w:id="59" w:name="_Toc76232411"/>
            <w:bookmarkStart w:id="60" w:name="_Toc77436420"/>
            <w:bookmarkStart w:id="61" w:name="_Toc78032360"/>
            <w:bookmarkStart w:id="62" w:name="_Toc78046348"/>
            <w:bookmarkStart w:id="63" w:name="_Toc79269733"/>
            <w:bookmarkStart w:id="64" w:name="_Toc79333537"/>
            <w:bookmarkStart w:id="65" w:name="_Toc80478247"/>
            <w:r w:rsidRPr="00D85A79">
              <w:rPr>
                <w:rFonts w:cs="Arial" w:hint="eastAsia"/>
                <w:b/>
                <w:i/>
                <w:color w:val="C00000"/>
              </w:rPr>
              <w:t>图表</w:t>
            </w:r>
            <w:r w:rsidRPr="00D85A79">
              <w:rPr>
                <w:rFonts w:cs="Arial"/>
                <w:b/>
                <w:i/>
                <w:color w:val="C00000"/>
              </w:rPr>
              <w:fldChar w:fldCharType="begin"/>
            </w:r>
            <w:r w:rsidRPr="00D85A79">
              <w:rPr>
                <w:rFonts w:cs="Arial"/>
                <w:b/>
                <w:i/>
                <w:color w:val="C00000"/>
              </w:rPr>
              <w:instrText xml:space="preserve"> SEQ </w:instrText>
            </w:r>
            <w:r w:rsidRPr="00D85A79">
              <w:rPr>
                <w:rFonts w:cs="Arial"/>
                <w:b/>
                <w:i/>
                <w:color w:val="C00000"/>
              </w:rPr>
              <w:instrText>图表</w:instrText>
            </w:r>
            <w:r w:rsidRPr="00D85A79">
              <w:rPr>
                <w:rFonts w:cs="Arial"/>
                <w:b/>
                <w:i/>
                <w:color w:val="C00000"/>
              </w:rPr>
              <w:instrText xml:space="preserve"> </w:instrText>
            </w:r>
            <w:r w:rsidRPr="00D85A79">
              <w:rPr>
                <w:rFonts w:cs="Arial"/>
                <w:b/>
                <w:i/>
                <w:color w:val="C00000"/>
              </w:rPr>
              <w:fldChar w:fldCharType="separate"/>
            </w:r>
            <w:r w:rsidR="00886C82">
              <w:rPr>
                <w:rFonts w:cs="Arial"/>
                <w:b/>
                <w:i/>
                <w:noProof/>
                <w:color w:val="C00000"/>
              </w:rPr>
              <w:t>13</w:t>
            </w:r>
            <w:r w:rsidRPr="00D85A79">
              <w:rPr>
                <w:rFonts w:cs="Arial"/>
                <w:b/>
                <w:i/>
                <w:color w:val="C00000"/>
              </w:rPr>
              <w:fldChar w:fldCharType="end"/>
            </w:r>
            <w:r w:rsidRPr="00D85A79">
              <w:rPr>
                <w:rFonts w:cs="Arial" w:hint="eastAsia"/>
                <w:b/>
                <w:i/>
                <w:color w:val="C00000"/>
              </w:rPr>
              <w:t>：</w:t>
            </w:r>
            <w:bookmarkEnd w:id="59"/>
            <w:bookmarkEnd w:id="60"/>
            <w:bookmarkEnd w:id="61"/>
            <w:bookmarkEnd w:id="62"/>
            <w:bookmarkEnd w:id="63"/>
            <w:bookmarkEnd w:id="64"/>
            <w:r w:rsidR="0088616A" w:rsidRPr="0088616A">
              <w:rPr>
                <w:rFonts w:cs="Arial" w:hint="eastAsia"/>
                <w:b/>
                <w:i/>
                <w:color w:val="C00000"/>
              </w:rPr>
              <w:t>银行间质押式回购成交量与</w:t>
            </w:r>
            <w:r w:rsidR="0088616A" w:rsidRPr="0088616A">
              <w:rPr>
                <w:rFonts w:cs="Arial" w:hint="eastAsia"/>
                <w:b/>
                <w:i/>
                <w:color w:val="C00000"/>
              </w:rPr>
              <w:t>R001</w:t>
            </w:r>
            <w:r w:rsidR="0088616A" w:rsidRPr="0088616A">
              <w:rPr>
                <w:rFonts w:cs="Arial" w:hint="eastAsia"/>
                <w:b/>
                <w:i/>
                <w:color w:val="C00000"/>
              </w:rPr>
              <w:t>成交量占比</w:t>
            </w:r>
            <w:bookmarkEnd w:id="65"/>
          </w:p>
        </w:tc>
      </w:tr>
      <w:tr w:rsidR="001F3C9F" w:rsidRPr="00D85A79" w14:paraId="24D36834" w14:textId="77777777" w:rsidTr="00853941">
        <w:trPr>
          <w:trHeight w:val="2999"/>
        </w:trPr>
        <w:tc>
          <w:tcPr>
            <w:tcW w:w="5028" w:type="dxa"/>
            <w:tcBorders>
              <w:top w:val="single" w:sz="2" w:space="0" w:color="C00000"/>
              <w:bottom w:val="single" w:sz="2" w:space="0" w:color="C00000"/>
            </w:tcBorders>
            <w:shd w:val="clear" w:color="auto" w:fill="auto"/>
          </w:tcPr>
          <w:p w14:paraId="362A7691" w14:textId="5D3622FB" w:rsidR="001F3C9F" w:rsidRPr="00D85A79" w:rsidRDefault="00CC0FE1" w:rsidP="00853941">
            <w:r w:rsidRPr="00CC0FE1">
              <w:rPr>
                <w:noProof/>
              </w:rPr>
              <w:drawing>
                <wp:inline distT="0" distB="0" distL="0" distR="0" wp14:anchorId="042122F0" wp14:editId="71296C8C">
                  <wp:extent cx="3054350" cy="21526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c>
          <w:tcPr>
            <w:tcW w:w="222" w:type="dxa"/>
            <w:shd w:val="clear" w:color="auto" w:fill="auto"/>
          </w:tcPr>
          <w:p w14:paraId="16136E9F" w14:textId="77777777" w:rsidR="001F3C9F" w:rsidRPr="00D85A79" w:rsidRDefault="001F3C9F" w:rsidP="00853941">
            <w:pPr>
              <w:jc w:val="left"/>
            </w:pPr>
          </w:p>
        </w:tc>
        <w:tc>
          <w:tcPr>
            <w:tcW w:w="5046" w:type="dxa"/>
            <w:tcBorders>
              <w:top w:val="single" w:sz="2" w:space="0" w:color="C00000"/>
              <w:bottom w:val="single" w:sz="2" w:space="0" w:color="C00000"/>
            </w:tcBorders>
            <w:shd w:val="clear" w:color="auto" w:fill="auto"/>
          </w:tcPr>
          <w:p w14:paraId="02878A5B" w14:textId="2D001144" w:rsidR="001F3C9F" w:rsidRPr="00D85A79" w:rsidRDefault="009606AC" w:rsidP="00853941">
            <w:pPr>
              <w:jc w:val="left"/>
            </w:pPr>
            <w:r w:rsidRPr="009606AC">
              <w:rPr>
                <w:noProof/>
              </w:rPr>
              <w:drawing>
                <wp:inline distT="0" distB="0" distL="0" distR="0" wp14:anchorId="7F5E9517" wp14:editId="6EE39CB7">
                  <wp:extent cx="3054350" cy="2152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r>
      <w:tr w:rsidR="001F3C9F" w:rsidRPr="00D85A79" w14:paraId="0D926B8B" w14:textId="77777777" w:rsidTr="00853941">
        <w:trPr>
          <w:trHeight w:val="113"/>
        </w:trPr>
        <w:tc>
          <w:tcPr>
            <w:tcW w:w="5028" w:type="dxa"/>
            <w:tcBorders>
              <w:top w:val="single" w:sz="2" w:space="0" w:color="C00000"/>
            </w:tcBorders>
            <w:shd w:val="clear" w:color="auto" w:fill="auto"/>
          </w:tcPr>
          <w:p w14:paraId="5D514DA3" w14:textId="77777777" w:rsidR="001F3C9F" w:rsidRPr="00D85A79" w:rsidRDefault="001F3C9F" w:rsidP="00853941">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c>
          <w:tcPr>
            <w:tcW w:w="222" w:type="dxa"/>
            <w:shd w:val="clear" w:color="auto" w:fill="auto"/>
          </w:tcPr>
          <w:p w14:paraId="131C4048" w14:textId="77777777" w:rsidR="001F3C9F" w:rsidRPr="00D85A79" w:rsidRDefault="001F3C9F" w:rsidP="00853941">
            <w:pPr>
              <w:jc w:val="left"/>
              <w:rPr>
                <w:rFonts w:ascii="楷体" w:eastAsia="楷体" w:hAnsi="楷体"/>
                <w:color w:val="C00000"/>
                <w:sz w:val="15"/>
              </w:rPr>
            </w:pPr>
          </w:p>
        </w:tc>
        <w:tc>
          <w:tcPr>
            <w:tcW w:w="5046" w:type="dxa"/>
            <w:tcBorders>
              <w:top w:val="single" w:sz="2" w:space="0" w:color="C00000"/>
            </w:tcBorders>
            <w:shd w:val="clear" w:color="auto" w:fill="auto"/>
          </w:tcPr>
          <w:p w14:paraId="3DDACA5F" w14:textId="77777777" w:rsidR="001F3C9F" w:rsidRPr="00D85A79" w:rsidRDefault="001F3C9F" w:rsidP="00853941">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r>
    </w:tbl>
    <w:p w14:paraId="45345C7B" w14:textId="77777777" w:rsidR="001F3C9F" w:rsidRPr="00D85A79" w:rsidRDefault="001F3C9F" w:rsidP="001F3C9F"/>
    <w:p w14:paraId="3E4452AF" w14:textId="67A3F9BF" w:rsidR="001F3C9F" w:rsidRDefault="00E97722" w:rsidP="00CD0773">
      <w:pPr>
        <w:ind w:left="3681"/>
      </w:pPr>
      <w:bookmarkStart w:id="66" w:name="_Hlk76229406"/>
      <w:r w:rsidRPr="00E97722">
        <w:rPr>
          <w:rFonts w:hint="eastAsia"/>
          <w:b/>
          <w:bCs/>
        </w:rPr>
        <w:t>同业存单净融资额回升，发行利率</w:t>
      </w:r>
      <w:r w:rsidR="004529A4">
        <w:rPr>
          <w:rFonts w:hint="eastAsia"/>
          <w:b/>
          <w:bCs/>
        </w:rPr>
        <w:t>与上周</w:t>
      </w:r>
      <w:r w:rsidRPr="00E97722">
        <w:rPr>
          <w:rFonts w:hint="eastAsia"/>
          <w:b/>
          <w:bCs/>
        </w:rPr>
        <w:t>持平。</w:t>
      </w:r>
      <w:r w:rsidR="001F3C9F" w:rsidRPr="00480A13">
        <w:rPr>
          <w:rFonts w:hint="eastAsia"/>
        </w:rPr>
        <w:t>本周同业存单发行量为</w:t>
      </w:r>
      <w:r w:rsidR="001063D8" w:rsidRPr="00480A13">
        <w:t>5248.7</w:t>
      </w:r>
      <w:r w:rsidR="001F3C9F" w:rsidRPr="00480A13">
        <w:rPr>
          <w:rFonts w:hint="eastAsia"/>
        </w:rPr>
        <w:t>亿元，净融资</w:t>
      </w:r>
      <w:r w:rsidR="001063D8" w:rsidRPr="00480A13">
        <w:rPr>
          <w:rFonts w:hint="eastAsia"/>
        </w:rPr>
        <w:t>额</w:t>
      </w:r>
      <w:r w:rsidR="001F3C9F" w:rsidRPr="00480A13">
        <w:rPr>
          <w:rFonts w:hint="eastAsia"/>
        </w:rPr>
        <w:t>为</w:t>
      </w:r>
      <w:r w:rsidR="001063D8" w:rsidRPr="00480A13">
        <w:t>1254.2</w:t>
      </w:r>
      <w:r w:rsidR="001F3C9F" w:rsidRPr="00480A13">
        <w:rPr>
          <w:rFonts w:hint="eastAsia"/>
        </w:rPr>
        <w:t>亿元，</w:t>
      </w:r>
      <w:r w:rsidR="001063D8" w:rsidRPr="00480A13">
        <w:rPr>
          <w:rFonts w:hint="eastAsia"/>
        </w:rPr>
        <w:t>分别较上周上升</w:t>
      </w:r>
      <w:r w:rsidR="001063D8" w:rsidRPr="00480A13">
        <w:t>1114.2</w:t>
      </w:r>
      <w:r w:rsidR="001063D8" w:rsidRPr="00480A13">
        <w:rPr>
          <w:rFonts w:hint="eastAsia"/>
        </w:rPr>
        <w:t>和</w:t>
      </w:r>
      <w:r w:rsidR="001063D8" w:rsidRPr="00480A13">
        <w:t>1040.7</w:t>
      </w:r>
      <w:r w:rsidR="001F3C9F" w:rsidRPr="00480A13">
        <w:rPr>
          <w:rFonts w:hint="eastAsia"/>
        </w:rPr>
        <w:t>亿元</w:t>
      </w:r>
      <w:r w:rsidR="001F3C9F" w:rsidRPr="00480A13">
        <w:t>。</w:t>
      </w:r>
      <w:r w:rsidR="00382BCF" w:rsidRPr="00480A13">
        <w:t>3M</w:t>
      </w:r>
      <w:r w:rsidR="00382BCF" w:rsidRPr="00480A13">
        <w:rPr>
          <w:rFonts w:hint="eastAsia"/>
        </w:rPr>
        <w:t>、</w:t>
      </w:r>
      <w:r w:rsidR="00382BCF" w:rsidRPr="00480A13">
        <w:t>6M</w:t>
      </w:r>
      <w:r w:rsidR="00382BCF" w:rsidRPr="00480A13">
        <w:rPr>
          <w:rFonts w:hint="eastAsia"/>
        </w:rPr>
        <w:t>、</w:t>
      </w:r>
      <w:r w:rsidR="00382BCF" w:rsidRPr="00480A13">
        <w:t>1Y</w:t>
      </w:r>
      <w:r w:rsidR="00382BCF" w:rsidRPr="00480A13">
        <w:rPr>
          <w:rFonts w:hint="eastAsia"/>
        </w:rPr>
        <w:t>期限发行利率与上周基本持平，</w:t>
      </w:r>
      <w:r w:rsidR="00382BCF" w:rsidRPr="00480A13">
        <w:rPr>
          <w:rFonts w:hint="eastAsia"/>
        </w:rPr>
        <w:t>1</w:t>
      </w:r>
      <w:r w:rsidR="00382BCF" w:rsidRPr="00480A13">
        <w:t>M</w:t>
      </w:r>
      <w:r w:rsidR="00382BCF" w:rsidRPr="00480A13">
        <w:rPr>
          <w:rFonts w:hint="eastAsia"/>
        </w:rPr>
        <w:t>期限发行利率小幅下行</w:t>
      </w:r>
      <w:r w:rsidR="00382BCF" w:rsidRPr="00480A13">
        <w:rPr>
          <w:rFonts w:hint="eastAsia"/>
        </w:rPr>
        <w:t>5</w:t>
      </w:r>
      <w:r w:rsidR="00382BCF" w:rsidRPr="00480A13">
        <w:t>BP</w:t>
      </w:r>
      <w:r w:rsidR="00382BCF" w:rsidRPr="00480A13">
        <w:rPr>
          <w:rFonts w:hint="eastAsia"/>
        </w:rPr>
        <w:t>至</w:t>
      </w:r>
      <w:r w:rsidR="00382BCF" w:rsidRPr="00480A13">
        <w:rPr>
          <w:rFonts w:hint="eastAsia"/>
        </w:rPr>
        <w:t>2</w:t>
      </w:r>
      <w:r w:rsidR="00382BCF" w:rsidRPr="00480A13">
        <w:t>.00</w:t>
      </w:r>
      <w:r w:rsidR="00382BCF" w:rsidRPr="00480A13">
        <w:rPr>
          <w:rFonts w:hint="eastAsia"/>
        </w:rPr>
        <w:t>%</w:t>
      </w:r>
      <w:r w:rsidR="00382BCF" w:rsidRPr="00480A13">
        <w:rPr>
          <w:rFonts w:hint="eastAsia"/>
        </w:rPr>
        <w:t>。</w:t>
      </w:r>
      <w:r w:rsidR="001F3C9F" w:rsidRPr="00480A13">
        <w:rPr>
          <w:rFonts w:hint="eastAsia"/>
        </w:rPr>
        <w:t>下周预计有</w:t>
      </w:r>
      <w:r w:rsidR="00CD0773" w:rsidRPr="00480A13">
        <w:t>3617.9</w:t>
      </w:r>
      <w:r w:rsidR="001F3C9F" w:rsidRPr="00480A13">
        <w:rPr>
          <w:rFonts w:hint="eastAsia"/>
        </w:rPr>
        <w:t>亿元存单到期。</w:t>
      </w:r>
    </w:p>
    <w:p w14:paraId="55EECEB0" w14:textId="77777777" w:rsidR="009D4252" w:rsidRDefault="009D4252" w:rsidP="00CD0773">
      <w:pPr>
        <w:ind w:left="3681"/>
      </w:pPr>
    </w:p>
    <w:tbl>
      <w:tblPr>
        <w:tblStyle w:val="af"/>
        <w:tblW w:w="10314" w:type="dxa"/>
        <w:tblInd w:w="-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222"/>
        <w:gridCol w:w="5046"/>
      </w:tblGrid>
      <w:tr w:rsidR="001F3C9F" w:rsidRPr="00DB6D01" w14:paraId="233927EC" w14:textId="77777777" w:rsidTr="00853941">
        <w:trPr>
          <w:trHeight w:val="113"/>
        </w:trPr>
        <w:tc>
          <w:tcPr>
            <w:tcW w:w="5046" w:type="dxa"/>
            <w:tcBorders>
              <w:top w:val="single" w:sz="12" w:space="0" w:color="C00000"/>
              <w:bottom w:val="single" w:sz="2" w:space="0" w:color="C00000"/>
            </w:tcBorders>
            <w:shd w:val="clear" w:color="auto" w:fill="auto"/>
          </w:tcPr>
          <w:p w14:paraId="4BA4F353" w14:textId="43AAC24D" w:rsidR="001F3C9F" w:rsidRPr="00DB6D01" w:rsidRDefault="001F3C9F" w:rsidP="00853941">
            <w:pPr>
              <w:rPr>
                <w:rFonts w:cs="Arial"/>
                <w:b/>
                <w:i/>
                <w:color w:val="C00000"/>
              </w:rPr>
            </w:pPr>
            <w:bookmarkStart w:id="67" w:name="_Toc76232412"/>
            <w:bookmarkStart w:id="68" w:name="_Toc77436421"/>
            <w:bookmarkStart w:id="69" w:name="_Toc78032361"/>
            <w:bookmarkStart w:id="70" w:name="_Toc78046349"/>
            <w:bookmarkStart w:id="71" w:name="_Toc79269734"/>
            <w:bookmarkStart w:id="72" w:name="_Toc79333538"/>
            <w:bookmarkStart w:id="73" w:name="_Toc80478248"/>
            <w:bookmarkEnd w:id="66"/>
            <w:r w:rsidRPr="00DB6D01">
              <w:rPr>
                <w:rFonts w:cs="Arial" w:hint="eastAsia"/>
                <w:b/>
                <w:i/>
                <w:color w:val="C00000"/>
              </w:rPr>
              <w:lastRenderedPageBreak/>
              <w:t>图表</w:t>
            </w:r>
            <w:r w:rsidRPr="00DB6D01">
              <w:rPr>
                <w:rFonts w:cs="Arial"/>
                <w:b/>
                <w:i/>
                <w:color w:val="C00000"/>
              </w:rPr>
              <w:fldChar w:fldCharType="begin"/>
            </w:r>
            <w:r w:rsidRPr="00DB6D01">
              <w:rPr>
                <w:rFonts w:cs="Arial"/>
                <w:b/>
                <w:i/>
                <w:color w:val="C00000"/>
              </w:rPr>
              <w:instrText xml:space="preserve"> SEQ </w:instrText>
            </w:r>
            <w:r w:rsidRPr="00DB6D01">
              <w:rPr>
                <w:rFonts w:cs="Arial"/>
                <w:b/>
                <w:i/>
                <w:color w:val="C00000"/>
              </w:rPr>
              <w:instrText>图表</w:instrText>
            </w:r>
            <w:r w:rsidRPr="00DB6D01">
              <w:rPr>
                <w:rFonts w:cs="Arial"/>
                <w:b/>
                <w:i/>
                <w:color w:val="C00000"/>
              </w:rPr>
              <w:instrText xml:space="preserve"> </w:instrText>
            </w:r>
            <w:r w:rsidRPr="00DB6D01">
              <w:rPr>
                <w:rFonts w:cs="Arial"/>
                <w:b/>
                <w:i/>
                <w:color w:val="C00000"/>
              </w:rPr>
              <w:fldChar w:fldCharType="separate"/>
            </w:r>
            <w:r w:rsidR="00886C82">
              <w:rPr>
                <w:rFonts w:cs="Arial"/>
                <w:b/>
                <w:i/>
                <w:noProof/>
                <w:color w:val="C00000"/>
              </w:rPr>
              <w:t>14</w:t>
            </w:r>
            <w:r w:rsidRPr="00DB6D01">
              <w:rPr>
                <w:rFonts w:cs="Arial"/>
                <w:b/>
                <w:i/>
                <w:color w:val="C00000"/>
              </w:rPr>
              <w:fldChar w:fldCharType="end"/>
            </w:r>
            <w:r w:rsidRPr="00DB6D01">
              <w:rPr>
                <w:rFonts w:cs="Arial" w:hint="eastAsia"/>
                <w:b/>
                <w:i/>
                <w:color w:val="C00000"/>
              </w:rPr>
              <w:t>：同业存单</w:t>
            </w:r>
            <w:r w:rsidRPr="00DB6D01">
              <w:rPr>
                <w:rFonts w:cs="Arial"/>
                <w:b/>
                <w:i/>
                <w:color w:val="C00000"/>
              </w:rPr>
              <w:t>净融资额</w:t>
            </w:r>
            <w:r>
              <w:rPr>
                <w:rFonts w:cs="Arial" w:hint="eastAsia"/>
                <w:b/>
                <w:i/>
                <w:color w:val="C00000"/>
              </w:rPr>
              <w:t>回升</w:t>
            </w:r>
            <w:r w:rsidRPr="00DB6D01">
              <w:rPr>
                <w:rFonts w:cs="Arial"/>
                <w:b/>
                <w:i/>
                <w:color w:val="C00000"/>
              </w:rPr>
              <w:t>（</w:t>
            </w:r>
            <w:r w:rsidRPr="00DB6D01">
              <w:rPr>
                <w:rFonts w:cs="Arial" w:hint="eastAsia"/>
                <w:b/>
                <w:i/>
                <w:color w:val="C00000"/>
              </w:rPr>
              <w:t>亿元</w:t>
            </w:r>
            <w:r w:rsidRPr="00DB6D01">
              <w:rPr>
                <w:rFonts w:cs="Arial"/>
                <w:b/>
                <w:i/>
                <w:color w:val="C00000"/>
              </w:rPr>
              <w:t>）</w:t>
            </w:r>
            <w:bookmarkEnd w:id="67"/>
            <w:bookmarkEnd w:id="68"/>
            <w:bookmarkEnd w:id="69"/>
            <w:bookmarkEnd w:id="70"/>
            <w:bookmarkEnd w:id="71"/>
            <w:bookmarkEnd w:id="72"/>
            <w:bookmarkEnd w:id="73"/>
          </w:p>
        </w:tc>
        <w:tc>
          <w:tcPr>
            <w:tcW w:w="222" w:type="dxa"/>
            <w:shd w:val="clear" w:color="auto" w:fill="auto"/>
          </w:tcPr>
          <w:p w14:paraId="1217A1B4" w14:textId="77777777" w:rsidR="001F3C9F" w:rsidRPr="00DB6D01" w:rsidRDefault="001F3C9F" w:rsidP="00853941">
            <w:pPr>
              <w:jc w:val="left"/>
              <w:rPr>
                <w:rFonts w:ascii="楷体" w:eastAsia="楷体" w:hAnsi="楷体"/>
                <w:color w:val="FF0000"/>
              </w:rPr>
            </w:pPr>
          </w:p>
        </w:tc>
        <w:tc>
          <w:tcPr>
            <w:tcW w:w="5046" w:type="dxa"/>
            <w:tcBorders>
              <w:top w:val="single" w:sz="12" w:space="0" w:color="C00000"/>
              <w:bottom w:val="single" w:sz="2" w:space="0" w:color="C00000"/>
            </w:tcBorders>
            <w:shd w:val="clear" w:color="auto" w:fill="auto"/>
          </w:tcPr>
          <w:p w14:paraId="2FA3351B" w14:textId="0015BFEA" w:rsidR="001F3C9F" w:rsidRPr="00DB6D01" w:rsidRDefault="001F3C9F" w:rsidP="00853941">
            <w:pPr>
              <w:jc w:val="left"/>
              <w:rPr>
                <w:rFonts w:cs="Arial"/>
                <w:b/>
                <w:i/>
                <w:color w:val="C00000"/>
              </w:rPr>
            </w:pPr>
            <w:bookmarkStart w:id="74" w:name="_Toc76232413"/>
            <w:bookmarkStart w:id="75" w:name="_Toc77436422"/>
            <w:bookmarkStart w:id="76" w:name="_Toc78032362"/>
            <w:bookmarkStart w:id="77" w:name="_Toc78046350"/>
            <w:bookmarkStart w:id="78" w:name="_Toc79269735"/>
            <w:bookmarkStart w:id="79" w:name="_Toc79333539"/>
            <w:bookmarkStart w:id="80" w:name="_Toc80478249"/>
            <w:r w:rsidRPr="00DB6D01">
              <w:rPr>
                <w:rFonts w:cs="Arial" w:hint="eastAsia"/>
                <w:b/>
                <w:i/>
                <w:color w:val="C00000"/>
              </w:rPr>
              <w:t>图表</w:t>
            </w:r>
            <w:r w:rsidRPr="00DB6D01">
              <w:rPr>
                <w:rFonts w:cs="Arial"/>
                <w:b/>
                <w:i/>
                <w:color w:val="C00000"/>
              </w:rPr>
              <w:fldChar w:fldCharType="begin"/>
            </w:r>
            <w:r w:rsidRPr="00DB6D01">
              <w:rPr>
                <w:rFonts w:cs="Arial"/>
                <w:b/>
                <w:i/>
                <w:color w:val="C00000"/>
              </w:rPr>
              <w:instrText xml:space="preserve"> SEQ </w:instrText>
            </w:r>
            <w:r w:rsidRPr="00DB6D01">
              <w:rPr>
                <w:rFonts w:cs="Arial"/>
                <w:b/>
                <w:i/>
                <w:color w:val="C00000"/>
              </w:rPr>
              <w:instrText>图表</w:instrText>
            </w:r>
            <w:r w:rsidRPr="00DB6D01">
              <w:rPr>
                <w:rFonts w:cs="Arial"/>
                <w:b/>
                <w:i/>
                <w:color w:val="C00000"/>
              </w:rPr>
              <w:instrText xml:space="preserve"> </w:instrText>
            </w:r>
            <w:r w:rsidRPr="00DB6D01">
              <w:rPr>
                <w:rFonts w:cs="Arial"/>
                <w:b/>
                <w:i/>
                <w:color w:val="C00000"/>
              </w:rPr>
              <w:fldChar w:fldCharType="separate"/>
            </w:r>
            <w:r w:rsidR="00886C82">
              <w:rPr>
                <w:rFonts w:cs="Arial"/>
                <w:b/>
                <w:i/>
                <w:noProof/>
                <w:color w:val="C00000"/>
              </w:rPr>
              <w:t>15</w:t>
            </w:r>
            <w:r w:rsidRPr="00DB6D01">
              <w:rPr>
                <w:rFonts w:cs="Arial"/>
                <w:b/>
                <w:i/>
                <w:color w:val="C00000"/>
              </w:rPr>
              <w:fldChar w:fldCharType="end"/>
            </w:r>
            <w:r w:rsidRPr="00DB6D01">
              <w:rPr>
                <w:rFonts w:cs="Arial" w:hint="eastAsia"/>
                <w:b/>
                <w:i/>
                <w:color w:val="C00000"/>
              </w:rPr>
              <w:t>：各期限发行利率小幅波动</w:t>
            </w:r>
            <w:r w:rsidRPr="00DB6D01">
              <w:rPr>
                <w:rFonts w:cs="Arial"/>
                <w:b/>
                <w:i/>
                <w:color w:val="C00000"/>
              </w:rPr>
              <w:t>（</w:t>
            </w:r>
            <w:r w:rsidRPr="00DB6D01">
              <w:rPr>
                <w:rFonts w:cs="Arial" w:hint="eastAsia"/>
                <w:b/>
                <w:i/>
                <w:color w:val="C00000"/>
              </w:rPr>
              <w:t>%</w:t>
            </w:r>
            <w:r w:rsidRPr="00DB6D01">
              <w:rPr>
                <w:rFonts w:cs="Arial"/>
                <w:b/>
                <w:i/>
                <w:color w:val="C00000"/>
              </w:rPr>
              <w:t>）</w:t>
            </w:r>
            <w:bookmarkEnd w:id="74"/>
            <w:bookmarkEnd w:id="75"/>
            <w:bookmarkEnd w:id="76"/>
            <w:bookmarkEnd w:id="77"/>
            <w:bookmarkEnd w:id="78"/>
            <w:bookmarkEnd w:id="79"/>
            <w:bookmarkEnd w:id="80"/>
          </w:p>
        </w:tc>
      </w:tr>
      <w:tr w:rsidR="001F3C9F" w:rsidRPr="00D85A79" w14:paraId="08F7F37F" w14:textId="77777777" w:rsidTr="00853941">
        <w:trPr>
          <w:trHeight w:val="2999"/>
        </w:trPr>
        <w:tc>
          <w:tcPr>
            <w:tcW w:w="5046" w:type="dxa"/>
            <w:tcBorders>
              <w:top w:val="single" w:sz="2" w:space="0" w:color="C00000"/>
              <w:bottom w:val="single" w:sz="2" w:space="0" w:color="C00000"/>
            </w:tcBorders>
            <w:shd w:val="clear" w:color="auto" w:fill="auto"/>
          </w:tcPr>
          <w:p w14:paraId="62BD5DC7" w14:textId="4A4000C5" w:rsidR="001F3C9F" w:rsidRPr="00DB6D01" w:rsidRDefault="002E32EA" w:rsidP="00853941">
            <w:r w:rsidRPr="002E32EA">
              <w:rPr>
                <w:noProof/>
              </w:rPr>
              <w:drawing>
                <wp:inline distT="0" distB="0" distL="0" distR="0" wp14:anchorId="397A750B" wp14:editId="3CB36BEC">
                  <wp:extent cx="3054350" cy="2152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c>
          <w:tcPr>
            <w:tcW w:w="222" w:type="dxa"/>
            <w:shd w:val="clear" w:color="auto" w:fill="auto"/>
          </w:tcPr>
          <w:p w14:paraId="15C37B5B" w14:textId="77777777" w:rsidR="001F3C9F" w:rsidRPr="00DB6D01" w:rsidRDefault="001F3C9F" w:rsidP="00853941">
            <w:pPr>
              <w:jc w:val="left"/>
            </w:pPr>
          </w:p>
        </w:tc>
        <w:tc>
          <w:tcPr>
            <w:tcW w:w="5046" w:type="dxa"/>
            <w:tcBorders>
              <w:top w:val="single" w:sz="2" w:space="0" w:color="C00000"/>
              <w:bottom w:val="single" w:sz="2" w:space="0" w:color="C00000"/>
            </w:tcBorders>
            <w:shd w:val="clear" w:color="auto" w:fill="auto"/>
          </w:tcPr>
          <w:p w14:paraId="0760004B" w14:textId="754CAAF0" w:rsidR="001F3C9F" w:rsidRPr="00D85A79" w:rsidRDefault="00C465C1" w:rsidP="00853941">
            <w:pPr>
              <w:jc w:val="left"/>
            </w:pPr>
            <w:r w:rsidRPr="00C465C1">
              <w:rPr>
                <w:noProof/>
              </w:rPr>
              <w:drawing>
                <wp:inline distT="0" distB="0" distL="0" distR="0" wp14:anchorId="704B2C24" wp14:editId="3098E9C3">
                  <wp:extent cx="3054350" cy="2152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4350" cy="2152650"/>
                          </a:xfrm>
                          <a:prstGeom prst="rect">
                            <a:avLst/>
                          </a:prstGeom>
                          <a:noFill/>
                          <a:ln>
                            <a:noFill/>
                          </a:ln>
                        </pic:spPr>
                      </pic:pic>
                    </a:graphicData>
                  </a:graphic>
                </wp:inline>
              </w:drawing>
            </w:r>
          </w:p>
        </w:tc>
      </w:tr>
      <w:tr w:rsidR="001F3C9F" w:rsidRPr="00D85A79" w14:paraId="75796562" w14:textId="77777777" w:rsidTr="00853941">
        <w:trPr>
          <w:trHeight w:val="113"/>
        </w:trPr>
        <w:tc>
          <w:tcPr>
            <w:tcW w:w="5046" w:type="dxa"/>
            <w:tcBorders>
              <w:top w:val="single" w:sz="2" w:space="0" w:color="C00000"/>
            </w:tcBorders>
            <w:shd w:val="clear" w:color="auto" w:fill="auto"/>
          </w:tcPr>
          <w:p w14:paraId="2B451618" w14:textId="77777777" w:rsidR="001F3C9F" w:rsidRPr="00D85A79" w:rsidRDefault="001F3C9F" w:rsidP="00853941">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c>
          <w:tcPr>
            <w:tcW w:w="222" w:type="dxa"/>
            <w:shd w:val="clear" w:color="auto" w:fill="auto"/>
          </w:tcPr>
          <w:p w14:paraId="146D7116" w14:textId="77777777" w:rsidR="001F3C9F" w:rsidRPr="00D85A79" w:rsidRDefault="001F3C9F" w:rsidP="00853941">
            <w:pPr>
              <w:jc w:val="left"/>
              <w:rPr>
                <w:rFonts w:ascii="楷体" w:eastAsia="楷体" w:hAnsi="楷体"/>
                <w:color w:val="C00000"/>
                <w:sz w:val="15"/>
              </w:rPr>
            </w:pPr>
          </w:p>
        </w:tc>
        <w:tc>
          <w:tcPr>
            <w:tcW w:w="5046" w:type="dxa"/>
            <w:tcBorders>
              <w:top w:val="single" w:sz="2" w:space="0" w:color="C00000"/>
            </w:tcBorders>
            <w:shd w:val="clear" w:color="auto" w:fill="auto"/>
          </w:tcPr>
          <w:p w14:paraId="45980EB7" w14:textId="77777777" w:rsidR="001F3C9F" w:rsidRPr="00D85A79" w:rsidRDefault="001F3C9F" w:rsidP="00853941">
            <w:pPr>
              <w:jc w:val="left"/>
              <w:rPr>
                <w:rFonts w:ascii="楷体" w:eastAsia="楷体" w:hAnsi="楷体"/>
                <w:color w:val="C00000"/>
                <w:sz w:val="15"/>
              </w:rPr>
            </w:pPr>
            <w:r w:rsidRPr="00D85A79">
              <w:rPr>
                <w:rFonts w:ascii="楷体" w:eastAsia="楷体" w:hAnsi="楷体" w:hint="eastAsia"/>
                <w:color w:val="C00000"/>
                <w:sz w:val="15"/>
              </w:rPr>
              <w:t>来源：WIND，中泰证券研究所</w:t>
            </w:r>
          </w:p>
        </w:tc>
      </w:tr>
    </w:tbl>
    <w:p w14:paraId="4D3357D0" w14:textId="77777777" w:rsidR="001F3C9F" w:rsidRPr="008463FC" w:rsidRDefault="001F3C9F" w:rsidP="001F3C9F">
      <w:pPr>
        <w:ind w:left="3681"/>
      </w:pPr>
      <w:bookmarkStart w:id="81" w:name="_Toc76232423"/>
      <w:bookmarkStart w:id="82" w:name="_Toc77438805"/>
      <w:bookmarkStart w:id="83" w:name="_Toc78032337"/>
      <w:bookmarkStart w:id="84" w:name="_Toc78046326"/>
    </w:p>
    <w:bookmarkEnd w:id="81"/>
    <w:bookmarkEnd w:id="82"/>
    <w:bookmarkEnd w:id="83"/>
    <w:bookmarkEnd w:id="84"/>
    <w:p w14:paraId="4900EBAF" w14:textId="35B1EE93" w:rsidR="001F3C9F" w:rsidRPr="004D7D48" w:rsidRDefault="001F3C9F" w:rsidP="001F3C9F">
      <w:pPr>
        <w:ind w:left="3681"/>
      </w:pPr>
      <w:r w:rsidRPr="0030371D">
        <w:rPr>
          <w:rFonts w:hint="eastAsia"/>
          <w:b/>
          <w:bCs/>
        </w:rPr>
        <w:t>风险</w:t>
      </w:r>
      <w:r w:rsidRPr="0030371D">
        <w:rPr>
          <w:b/>
          <w:bCs/>
        </w:rPr>
        <w:t>提示：</w:t>
      </w:r>
      <w:r w:rsidR="004529A4" w:rsidRPr="004529A4">
        <w:rPr>
          <w:rFonts w:hint="eastAsia"/>
        </w:rPr>
        <w:t>地方债发行超预期，货币政策宽松不及预期，利率波动超预期</w:t>
      </w:r>
      <w:r>
        <w:t>。</w:t>
      </w:r>
    </w:p>
    <w:p w14:paraId="01F08A91" w14:textId="0400904E" w:rsidR="0073606B" w:rsidRPr="001F3C9F" w:rsidRDefault="0073606B" w:rsidP="00B451CF">
      <w:pPr>
        <w:ind w:left="3680" w:hanging="420"/>
      </w:pPr>
    </w:p>
    <w:p w14:paraId="4C27DE15" w14:textId="77777777" w:rsidR="003209FF" w:rsidRDefault="003209FF" w:rsidP="003209FF"/>
    <w:p w14:paraId="1790DA49" w14:textId="77777777" w:rsidR="0044348C" w:rsidRDefault="003209FF">
      <w:pPr>
        <w:rPr>
          <w:rFonts w:cs="Arial"/>
          <w:b/>
          <w:sz w:val="24"/>
        </w:rPr>
      </w:pPr>
      <w:r>
        <w:br w:type="page"/>
      </w:r>
      <w:r>
        <w:rPr>
          <w:rFonts w:cs="Arial"/>
          <w:b/>
          <w:sz w:val="24"/>
        </w:rPr>
        <w:lastRenderedPageBreak/>
        <w:t>投资评级说明：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09"/>
        <w:gridCol w:w="7902"/>
      </w:tblGrid>
      <w:tr w:rsidR="0044348C" w14:paraId="4718E264" w14:textId="77777777">
        <w:trPr>
          <w:jc w:val="center"/>
        </w:trPr>
        <w:tc>
          <w:tcPr>
            <w:tcW w:w="1809" w:type="dxa"/>
            <w:shd w:val="clear" w:color="auto" w:fill="auto"/>
          </w:tcPr>
          <w:p w14:paraId="2B12D64C" w14:textId="77777777" w:rsidR="0044348C" w:rsidRDefault="0044348C"/>
        </w:tc>
        <w:tc>
          <w:tcPr>
            <w:tcW w:w="709" w:type="dxa"/>
            <w:shd w:val="clear" w:color="auto" w:fill="auto"/>
          </w:tcPr>
          <w:p w14:paraId="0CB3E8CB" w14:textId="77777777" w:rsidR="0044348C" w:rsidRDefault="003209FF">
            <w:pPr>
              <w:jc w:val="center"/>
              <w:rPr>
                <w:b/>
              </w:rPr>
            </w:pPr>
            <w:r>
              <w:rPr>
                <w:rFonts w:hint="eastAsia"/>
                <w:b/>
              </w:rPr>
              <w:t>评级</w:t>
            </w:r>
          </w:p>
        </w:tc>
        <w:tc>
          <w:tcPr>
            <w:tcW w:w="7902" w:type="dxa"/>
            <w:shd w:val="clear" w:color="auto" w:fill="auto"/>
          </w:tcPr>
          <w:p w14:paraId="6CF67CA6" w14:textId="77777777" w:rsidR="0044348C" w:rsidRDefault="003209FF">
            <w:pPr>
              <w:rPr>
                <w:b/>
              </w:rPr>
            </w:pPr>
            <w:r>
              <w:rPr>
                <w:rFonts w:hint="eastAsia"/>
                <w:b/>
              </w:rPr>
              <w:t>说明</w:t>
            </w:r>
          </w:p>
        </w:tc>
      </w:tr>
      <w:tr w:rsidR="0044348C" w14:paraId="35442004" w14:textId="77777777">
        <w:trPr>
          <w:jc w:val="center"/>
        </w:trPr>
        <w:tc>
          <w:tcPr>
            <w:tcW w:w="1809" w:type="dxa"/>
            <w:vMerge w:val="restart"/>
            <w:shd w:val="clear" w:color="auto" w:fill="auto"/>
            <w:vAlign w:val="center"/>
          </w:tcPr>
          <w:p w14:paraId="20B1FA5C" w14:textId="77777777" w:rsidR="0044348C" w:rsidRDefault="003209FF">
            <w:pPr>
              <w:jc w:val="center"/>
              <w:rPr>
                <w:b/>
                <w:szCs w:val="21"/>
              </w:rPr>
            </w:pPr>
            <w:r>
              <w:rPr>
                <w:rFonts w:hint="eastAsia"/>
                <w:b/>
                <w:szCs w:val="21"/>
              </w:rPr>
              <w:t>股票评级</w:t>
            </w:r>
          </w:p>
        </w:tc>
        <w:tc>
          <w:tcPr>
            <w:tcW w:w="709" w:type="dxa"/>
            <w:shd w:val="clear" w:color="auto" w:fill="auto"/>
          </w:tcPr>
          <w:p w14:paraId="66DE61B4" w14:textId="77777777" w:rsidR="0044348C" w:rsidRDefault="003209FF">
            <w:pPr>
              <w:jc w:val="center"/>
            </w:pPr>
            <w:r>
              <w:rPr>
                <w:rFonts w:hint="eastAsia"/>
              </w:rPr>
              <w:t>买入</w:t>
            </w:r>
          </w:p>
        </w:tc>
        <w:tc>
          <w:tcPr>
            <w:tcW w:w="7902" w:type="dxa"/>
            <w:shd w:val="clear" w:color="auto" w:fill="auto"/>
          </w:tcPr>
          <w:p w14:paraId="7C571EC3" w14:textId="77777777" w:rsidR="0044348C" w:rsidRDefault="003209FF">
            <w:r>
              <w:rPr>
                <w:rFonts w:cs="Arial"/>
                <w:szCs w:val="21"/>
              </w:rPr>
              <w:t>预期未来</w:t>
            </w:r>
            <w:r>
              <w:rPr>
                <w:rFonts w:cs="Arial"/>
                <w:szCs w:val="21"/>
              </w:rPr>
              <w:t>6~12</w:t>
            </w:r>
            <w:r>
              <w:rPr>
                <w:rFonts w:cs="Arial"/>
                <w:szCs w:val="21"/>
              </w:rPr>
              <w:t>个月内</w:t>
            </w:r>
            <w:r>
              <w:rPr>
                <w:rFonts w:cs="Arial" w:hint="eastAsia"/>
                <w:szCs w:val="21"/>
              </w:rPr>
              <w:t>相对同期基准指数</w:t>
            </w:r>
            <w:r>
              <w:rPr>
                <w:rFonts w:cs="Arial"/>
                <w:szCs w:val="21"/>
              </w:rPr>
              <w:t>涨幅在</w:t>
            </w:r>
            <w:r>
              <w:rPr>
                <w:rFonts w:cs="Arial"/>
                <w:szCs w:val="21"/>
              </w:rPr>
              <w:t>15%</w:t>
            </w:r>
            <w:r>
              <w:rPr>
                <w:rFonts w:cs="Arial"/>
                <w:szCs w:val="21"/>
              </w:rPr>
              <w:t>以上</w:t>
            </w:r>
          </w:p>
        </w:tc>
      </w:tr>
      <w:tr w:rsidR="0044348C" w14:paraId="4A7A038D" w14:textId="77777777">
        <w:trPr>
          <w:jc w:val="center"/>
        </w:trPr>
        <w:tc>
          <w:tcPr>
            <w:tcW w:w="1809" w:type="dxa"/>
            <w:vMerge/>
            <w:shd w:val="clear" w:color="auto" w:fill="auto"/>
          </w:tcPr>
          <w:p w14:paraId="118D18FD" w14:textId="77777777" w:rsidR="0044348C" w:rsidRDefault="0044348C"/>
        </w:tc>
        <w:tc>
          <w:tcPr>
            <w:tcW w:w="709" w:type="dxa"/>
            <w:shd w:val="clear" w:color="auto" w:fill="auto"/>
          </w:tcPr>
          <w:p w14:paraId="6D046C16" w14:textId="77777777" w:rsidR="0044348C" w:rsidRDefault="003209FF">
            <w:pPr>
              <w:jc w:val="center"/>
            </w:pPr>
            <w:r>
              <w:rPr>
                <w:rFonts w:cs="Arial"/>
                <w:szCs w:val="21"/>
              </w:rPr>
              <w:t>增持</w:t>
            </w:r>
          </w:p>
        </w:tc>
        <w:tc>
          <w:tcPr>
            <w:tcW w:w="7902" w:type="dxa"/>
            <w:shd w:val="clear" w:color="auto" w:fill="auto"/>
          </w:tcPr>
          <w:p w14:paraId="5DB38173" w14:textId="77777777" w:rsidR="0044348C" w:rsidRDefault="003209FF">
            <w:r>
              <w:rPr>
                <w:rFonts w:cs="Arial"/>
                <w:szCs w:val="21"/>
              </w:rPr>
              <w:t>预期未来</w:t>
            </w:r>
            <w:r>
              <w:rPr>
                <w:rFonts w:cs="Arial"/>
                <w:szCs w:val="21"/>
              </w:rPr>
              <w:t>6~12</w:t>
            </w:r>
            <w:r>
              <w:rPr>
                <w:rFonts w:cs="Arial"/>
                <w:szCs w:val="21"/>
              </w:rPr>
              <w:t>个月内</w:t>
            </w:r>
            <w:r>
              <w:rPr>
                <w:rFonts w:cs="Arial" w:hint="eastAsia"/>
                <w:szCs w:val="21"/>
              </w:rPr>
              <w:t>相对同期基准指数</w:t>
            </w:r>
            <w:r>
              <w:rPr>
                <w:rFonts w:cs="Arial"/>
                <w:szCs w:val="21"/>
              </w:rPr>
              <w:t>涨幅在</w:t>
            </w:r>
            <w:r>
              <w:rPr>
                <w:rFonts w:cs="Arial"/>
                <w:szCs w:val="21"/>
              </w:rPr>
              <w:t>5%~15%</w:t>
            </w:r>
            <w:r>
              <w:rPr>
                <w:rFonts w:cs="Arial"/>
                <w:szCs w:val="21"/>
              </w:rPr>
              <w:t>之间</w:t>
            </w:r>
          </w:p>
        </w:tc>
      </w:tr>
      <w:tr w:rsidR="0044348C" w14:paraId="4B3F1515" w14:textId="77777777">
        <w:trPr>
          <w:jc w:val="center"/>
        </w:trPr>
        <w:tc>
          <w:tcPr>
            <w:tcW w:w="1809" w:type="dxa"/>
            <w:vMerge/>
            <w:shd w:val="clear" w:color="auto" w:fill="auto"/>
          </w:tcPr>
          <w:p w14:paraId="45E70BD8" w14:textId="77777777" w:rsidR="0044348C" w:rsidRDefault="0044348C"/>
        </w:tc>
        <w:tc>
          <w:tcPr>
            <w:tcW w:w="709" w:type="dxa"/>
            <w:shd w:val="clear" w:color="auto" w:fill="auto"/>
          </w:tcPr>
          <w:p w14:paraId="4BBE2C38" w14:textId="77777777" w:rsidR="0044348C" w:rsidRDefault="003209FF">
            <w:pPr>
              <w:jc w:val="center"/>
            </w:pPr>
            <w:r>
              <w:rPr>
                <w:rFonts w:hint="eastAsia"/>
              </w:rPr>
              <w:t>持有</w:t>
            </w:r>
          </w:p>
        </w:tc>
        <w:tc>
          <w:tcPr>
            <w:tcW w:w="7902" w:type="dxa"/>
            <w:shd w:val="clear" w:color="auto" w:fill="auto"/>
          </w:tcPr>
          <w:p w14:paraId="59B33683" w14:textId="77777777" w:rsidR="0044348C" w:rsidRDefault="003209FF">
            <w:r>
              <w:rPr>
                <w:rFonts w:cs="Arial"/>
                <w:szCs w:val="21"/>
              </w:rPr>
              <w:t>预期未来</w:t>
            </w:r>
            <w:r>
              <w:rPr>
                <w:rFonts w:cs="Arial"/>
                <w:szCs w:val="21"/>
              </w:rPr>
              <w:t>6~12</w:t>
            </w:r>
            <w:r>
              <w:rPr>
                <w:rFonts w:cs="Arial"/>
                <w:szCs w:val="21"/>
              </w:rPr>
              <w:t>个月内</w:t>
            </w:r>
            <w:r>
              <w:rPr>
                <w:rFonts w:cs="Arial" w:hint="eastAsia"/>
                <w:szCs w:val="21"/>
              </w:rPr>
              <w:t>相对同期基准指数</w:t>
            </w:r>
            <w:r>
              <w:rPr>
                <w:rFonts w:cs="Arial"/>
                <w:szCs w:val="21"/>
              </w:rPr>
              <w:t>涨幅在</w:t>
            </w:r>
            <w:r>
              <w:rPr>
                <w:rFonts w:cs="Arial"/>
                <w:szCs w:val="21"/>
              </w:rPr>
              <w:t>-10%~+5%</w:t>
            </w:r>
            <w:r>
              <w:rPr>
                <w:rFonts w:cs="Arial"/>
                <w:szCs w:val="21"/>
              </w:rPr>
              <w:t>之间</w:t>
            </w:r>
          </w:p>
        </w:tc>
      </w:tr>
      <w:tr w:rsidR="0044348C" w14:paraId="2662881A" w14:textId="77777777">
        <w:trPr>
          <w:jc w:val="center"/>
        </w:trPr>
        <w:tc>
          <w:tcPr>
            <w:tcW w:w="1809" w:type="dxa"/>
            <w:vMerge/>
            <w:shd w:val="clear" w:color="auto" w:fill="auto"/>
          </w:tcPr>
          <w:p w14:paraId="4E18AA22" w14:textId="77777777" w:rsidR="0044348C" w:rsidRDefault="0044348C"/>
        </w:tc>
        <w:tc>
          <w:tcPr>
            <w:tcW w:w="709" w:type="dxa"/>
            <w:shd w:val="clear" w:color="auto" w:fill="auto"/>
          </w:tcPr>
          <w:p w14:paraId="2343BC96" w14:textId="77777777" w:rsidR="0044348C" w:rsidRDefault="003209FF">
            <w:pPr>
              <w:jc w:val="center"/>
            </w:pPr>
            <w:r>
              <w:rPr>
                <w:rFonts w:hint="eastAsia"/>
              </w:rPr>
              <w:t>减持</w:t>
            </w:r>
          </w:p>
        </w:tc>
        <w:tc>
          <w:tcPr>
            <w:tcW w:w="7902" w:type="dxa"/>
            <w:shd w:val="clear" w:color="auto" w:fill="auto"/>
          </w:tcPr>
          <w:p w14:paraId="78A67EFC" w14:textId="77777777" w:rsidR="0044348C" w:rsidRDefault="003209FF">
            <w:r>
              <w:rPr>
                <w:rFonts w:cs="Arial"/>
                <w:szCs w:val="21"/>
              </w:rPr>
              <w:t>预期未来</w:t>
            </w:r>
            <w:r>
              <w:rPr>
                <w:rFonts w:cs="Arial"/>
                <w:szCs w:val="21"/>
              </w:rPr>
              <w:t>6~12</w:t>
            </w:r>
            <w:r>
              <w:rPr>
                <w:rFonts w:cs="Arial"/>
                <w:szCs w:val="21"/>
              </w:rPr>
              <w:t>个月内</w:t>
            </w:r>
            <w:r>
              <w:rPr>
                <w:rFonts w:cs="Arial" w:hint="eastAsia"/>
                <w:szCs w:val="21"/>
              </w:rPr>
              <w:t>相对同期基准指数</w:t>
            </w:r>
            <w:r>
              <w:rPr>
                <w:rFonts w:cs="Arial"/>
                <w:szCs w:val="21"/>
              </w:rPr>
              <w:t>跌幅在</w:t>
            </w:r>
            <w:r>
              <w:rPr>
                <w:rFonts w:cs="Arial"/>
                <w:szCs w:val="21"/>
              </w:rPr>
              <w:t>10%</w:t>
            </w:r>
            <w:r>
              <w:rPr>
                <w:rFonts w:cs="Arial"/>
                <w:szCs w:val="21"/>
              </w:rPr>
              <w:t>以上</w:t>
            </w:r>
          </w:p>
        </w:tc>
      </w:tr>
      <w:tr w:rsidR="0044348C" w14:paraId="25ACD289" w14:textId="77777777">
        <w:trPr>
          <w:jc w:val="center"/>
        </w:trPr>
        <w:tc>
          <w:tcPr>
            <w:tcW w:w="1809" w:type="dxa"/>
            <w:vMerge w:val="restart"/>
            <w:shd w:val="clear" w:color="auto" w:fill="auto"/>
            <w:vAlign w:val="center"/>
          </w:tcPr>
          <w:p w14:paraId="2D0C1F58" w14:textId="77777777" w:rsidR="0044348C" w:rsidRDefault="003209FF">
            <w:pPr>
              <w:jc w:val="center"/>
              <w:rPr>
                <w:b/>
              </w:rPr>
            </w:pPr>
            <w:r>
              <w:rPr>
                <w:rFonts w:hint="eastAsia"/>
                <w:b/>
              </w:rPr>
              <w:t>行业评级</w:t>
            </w:r>
          </w:p>
        </w:tc>
        <w:tc>
          <w:tcPr>
            <w:tcW w:w="709" w:type="dxa"/>
            <w:shd w:val="clear" w:color="auto" w:fill="auto"/>
          </w:tcPr>
          <w:p w14:paraId="451B3AE6" w14:textId="77777777" w:rsidR="0044348C" w:rsidRDefault="003209FF">
            <w:pPr>
              <w:jc w:val="center"/>
            </w:pPr>
            <w:r>
              <w:rPr>
                <w:rFonts w:hint="eastAsia"/>
              </w:rPr>
              <w:t>增持</w:t>
            </w:r>
          </w:p>
        </w:tc>
        <w:tc>
          <w:tcPr>
            <w:tcW w:w="7902" w:type="dxa"/>
            <w:shd w:val="clear" w:color="auto" w:fill="auto"/>
          </w:tcPr>
          <w:p w14:paraId="40AF71C8" w14:textId="77777777" w:rsidR="0044348C" w:rsidRDefault="003209FF">
            <w:r>
              <w:t>预期未来</w:t>
            </w:r>
            <w:r>
              <w:rPr>
                <w:rFonts w:cs="Arial"/>
                <w:szCs w:val="21"/>
              </w:rPr>
              <w:t>6~12</w:t>
            </w:r>
            <w:r>
              <w:t>个月内</w:t>
            </w:r>
            <w:r>
              <w:rPr>
                <w:rFonts w:cs="Arial" w:hint="eastAsia"/>
                <w:szCs w:val="21"/>
              </w:rPr>
              <w:t>对同期基准指数</w:t>
            </w:r>
            <w:r>
              <w:t>涨幅在</w:t>
            </w:r>
            <w:r>
              <w:t>10%</w:t>
            </w:r>
            <w:r>
              <w:t>以上</w:t>
            </w:r>
          </w:p>
        </w:tc>
      </w:tr>
      <w:tr w:rsidR="0044348C" w14:paraId="0D11538C" w14:textId="77777777">
        <w:trPr>
          <w:jc w:val="center"/>
        </w:trPr>
        <w:tc>
          <w:tcPr>
            <w:tcW w:w="1809" w:type="dxa"/>
            <w:vMerge/>
            <w:shd w:val="clear" w:color="auto" w:fill="auto"/>
          </w:tcPr>
          <w:p w14:paraId="7215932E" w14:textId="77777777" w:rsidR="0044348C" w:rsidRDefault="0044348C"/>
        </w:tc>
        <w:tc>
          <w:tcPr>
            <w:tcW w:w="709" w:type="dxa"/>
            <w:shd w:val="clear" w:color="auto" w:fill="auto"/>
          </w:tcPr>
          <w:p w14:paraId="40BC3B81" w14:textId="77777777" w:rsidR="0044348C" w:rsidRDefault="003209FF">
            <w:pPr>
              <w:jc w:val="center"/>
            </w:pPr>
            <w:r>
              <w:rPr>
                <w:rFonts w:hint="eastAsia"/>
              </w:rPr>
              <w:t>中性</w:t>
            </w:r>
          </w:p>
        </w:tc>
        <w:tc>
          <w:tcPr>
            <w:tcW w:w="7902" w:type="dxa"/>
            <w:shd w:val="clear" w:color="auto" w:fill="auto"/>
          </w:tcPr>
          <w:p w14:paraId="10439E01" w14:textId="77777777" w:rsidR="0044348C" w:rsidRDefault="003209FF">
            <w:r>
              <w:t>预期未来</w:t>
            </w:r>
            <w:r>
              <w:rPr>
                <w:rFonts w:cs="Arial"/>
                <w:szCs w:val="21"/>
              </w:rPr>
              <w:t>6~12</w:t>
            </w:r>
            <w:r>
              <w:t>个月内</w:t>
            </w:r>
            <w:r>
              <w:rPr>
                <w:rFonts w:cs="Arial" w:hint="eastAsia"/>
                <w:szCs w:val="21"/>
              </w:rPr>
              <w:t>对同期基准指数</w:t>
            </w:r>
            <w:r>
              <w:t>涨幅在</w:t>
            </w:r>
            <w:r>
              <w:t>-10%</w:t>
            </w:r>
            <w:r>
              <w:rPr>
                <w:rFonts w:cs="Arial"/>
                <w:szCs w:val="21"/>
              </w:rPr>
              <w:t>~</w:t>
            </w:r>
            <w:r>
              <w:t>+10%</w:t>
            </w:r>
            <w:r>
              <w:rPr>
                <w:rFonts w:cs="Arial"/>
                <w:szCs w:val="21"/>
              </w:rPr>
              <w:t>之间</w:t>
            </w:r>
          </w:p>
        </w:tc>
      </w:tr>
      <w:tr w:rsidR="0044348C" w14:paraId="19B63059" w14:textId="77777777">
        <w:trPr>
          <w:jc w:val="center"/>
        </w:trPr>
        <w:tc>
          <w:tcPr>
            <w:tcW w:w="1809" w:type="dxa"/>
            <w:vMerge/>
            <w:shd w:val="clear" w:color="auto" w:fill="auto"/>
          </w:tcPr>
          <w:p w14:paraId="6CBEEAC3" w14:textId="77777777" w:rsidR="0044348C" w:rsidRDefault="0044348C"/>
        </w:tc>
        <w:tc>
          <w:tcPr>
            <w:tcW w:w="709" w:type="dxa"/>
            <w:shd w:val="clear" w:color="auto" w:fill="auto"/>
          </w:tcPr>
          <w:p w14:paraId="734130ED" w14:textId="77777777" w:rsidR="0044348C" w:rsidRDefault="003209FF">
            <w:pPr>
              <w:jc w:val="center"/>
            </w:pPr>
            <w:r>
              <w:rPr>
                <w:rFonts w:hint="eastAsia"/>
              </w:rPr>
              <w:t>减持</w:t>
            </w:r>
          </w:p>
        </w:tc>
        <w:tc>
          <w:tcPr>
            <w:tcW w:w="7902" w:type="dxa"/>
            <w:shd w:val="clear" w:color="auto" w:fill="auto"/>
          </w:tcPr>
          <w:p w14:paraId="26FED821" w14:textId="77777777" w:rsidR="0044348C" w:rsidRDefault="003209FF">
            <w:r>
              <w:t>预期未来</w:t>
            </w:r>
            <w:r>
              <w:rPr>
                <w:rFonts w:cs="Arial"/>
                <w:szCs w:val="21"/>
              </w:rPr>
              <w:t>6~12</w:t>
            </w:r>
            <w:r>
              <w:t>个月内</w:t>
            </w:r>
            <w:r>
              <w:rPr>
                <w:rFonts w:cs="Arial" w:hint="eastAsia"/>
                <w:szCs w:val="21"/>
              </w:rPr>
              <w:t>对同期基准指数</w:t>
            </w:r>
            <w:r>
              <w:t>跌幅在</w:t>
            </w:r>
            <w:r>
              <w:t>10%</w:t>
            </w:r>
            <w:r>
              <w:t>以上</w:t>
            </w:r>
          </w:p>
        </w:tc>
      </w:tr>
      <w:tr w:rsidR="0044348C" w14:paraId="55ABC6C1" w14:textId="77777777">
        <w:trPr>
          <w:jc w:val="center"/>
        </w:trPr>
        <w:tc>
          <w:tcPr>
            <w:tcW w:w="10420" w:type="dxa"/>
            <w:gridSpan w:val="3"/>
            <w:shd w:val="clear" w:color="auto" w:fill="auto"/>
          </w:tcPr>
          <w:p w14:paraId="7D698F4F" w14:textId="77777777" w:rsidR="0044348C" w:rsidRDefault="003209FF">
            <w:r>
              <w:rPr>
                <w:rFonts w:hint="eastAsia"/>
              </w:rPr>
              <w:t>备注：评级标准为报告发布日后的</w:t>
            </w:r>
            <w:r>
              <w:rPr>
                <w:rFonts w:hint="eastAsia"/>
              </w:rPr>
              <w:t>6~12</w:t>
            </w:r>
            <w:r>
              <w:rPr>
                <w:rFonts w:hint="eastAsia"/>
              </w:rPr>
              <w:t>个月内公司股价（或行业指数）相对同期基准指数的相对市场表现。其中</w:t>
            </w:r>
            <w:r>
              <w:rPr>
                <w:rFonts w:hint="eastAsia"/>
              </w:rPr>
              <w:t>A</w:t>
            </w:r>
            <w:r>
              <w:rPr>
                <w:rFonts w:hint="eastAsia"/>
              </w:rPr>
              <w:t>股市场以沪深</w:t>
            </w:r>
            <w:r>
              <w:rPr>
                <w:rFonts w:hint="eastAsia"/>
              </w:rPr>
              <w:t>300</w:t>
            </w:r>
            <w:r>
              <w:rPr>
                <w:rFonts w:hint="eastAsia"/>
              </w:rPr>
              <w:t>指数为基准；新三板市场以三板成指（针对协议转让标的）或三板做市指数（针对做市转让标的）为基准；香港市场以摩根士丹利中国指数为基准，美股市场以标普</w:t>
            </w:r>
            <w:r>
              <w:rPr>
                <w:rFonts w:hint="eastAsia"/>
              </w:rPr>
              <w:t>500</w:t>
            </w:r>
            <w:r>
              <w:rPr>
                <w:rFonts w:hint="eastAsia"/>
              </w:rPr>
              <w:t>指数或纳斯达克综合指数为基准（另有说明的除外）。</w:t>
            </w:r>
          </w:p>
        </w:tc>
      </w:tr>
    </w:tbl>
    <w:p w14:paraId="39F4BA19" w14:textId="77777777" w:rsidR="0044348C" w:rsidRDefault="0044348C"/>
    <w:p w14:paraId="7C941EB4" w14:textId="77777777" w:rsidR="0044348C" w:rsidRDefault="003209FF">
      <w:r>
        <w:rPr>
          <w:noProof/>
        </w:rPr>
        <mc:AlternateContent>
          <mc:Choice Requires="wps">
            <w:drawing>
              <wp:anchor distT="0" distB="0" distL="114300" distR="114300" simplePos="0" relativeHeight="251661312" behindDoc="0" locked="0" layoutInCell="1" allowOverlap="1" wp14:anchorId="1ABE4B45" wp14:editId="115A4F9D">
                <wp:simplePos x="0" y="0"/>
                <wp:positionH relativeFrom="column">
                  <wp:posOffset>0</wp:posOffset>
                </wp:positionH>
                <wp:positionV relativeFrom="paragraph">
                  <wp:posOffset>100965</wp:posOffset>
                </wp:positionV>
                <wp:extent cx="6515100" cy="7200265"/>
                <wp:effectExtent l="0" t="0" r="0" b="635"/>
                <wp:wrapNone/>
                <wp:docPr id="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200265"/>
                        </a:xfrm>
                        <a:prstGeom prst="rect">
                          <a:avLst/>
                        </a:prstGeom>
                        <a:noFill/>
                        <a:ln>
                          <a:noFill/>
                        </a:ln>
                      </wps:spPr>
                      <wps:txbx>
                        <w:txbxContent>
                          <w:p w14:paraId="6344EFC3" w14:textId="77777777" w:rsidR="00587EAF" w:rsidRDefault="00587EAF">
                            <w:pPr>
                              <w:rPr>
                                <w:rFonts w:ascii="楷体_GB2312"/>
                                <w:b/>
                                <w:sz w:val="24"/>
                              </w:rPr>
                            </w:pPr>
                            <w:r>
                              <w:rPr>
                                <w:rFonts w:ascii="楷体_GB2312" w:hint="eastAsia"/>
                                <w:b/>
                                <w:sz w:val="24"/>
                              </w:rPr>
                              <w:t>重要声明：</w:t>
                            </w:r>
                          </w:p>
                          <w:p w14:paraId="66AEE4DA" w14:textId="77777777" w:rsidR="00587EAF" w:rsidRDefault="00587EAF">
                            <w:pPr>
                              <w:rPr>
                                <w:rFonts w:ascii="楷体_GB2312"/>
                                <w:szCs w:val="21"/>
                              </w:rPr>
                            </w:pPr>
                          </w:p>
                          <w:p w14:paraId="5E8E774E" w14:textId="77777777" w:rsidR="00587EAF" w:rsidRDefault="00587EAF">
                            <w:pPr>
                              <w:rPr>
                                <w:rFonts w:ascii="楷体_GB2312" w:cs="黑体"/>
                                <w:b/>
                                <w:kern w:val="0"/>
                                <w:szCs w:val="21"/>
                              </w:rPr>
                            </w:pPr>
                            <w:r>
                              <w:rPr>
                                <w:rFonts w:ascii="楷体_GB2312" w:cs="黑体" w:hint="eastAsia"/>
                                <w:b/>
                                <w:kern w:val="0"/>
                                <w:szCs w:val="21"/>
                              </w:rPr>
                              <w:t>中泰证券股份有限公司（以下简称“本公司”）具有中国证券监督管理委员会许可的证券投资咨询业务资格。本报告仅供本公司的客户使用。本公司不会因接收人收到本报告而视其为客户。</w:t>
                            </w:r>
                          </w:p>
                          <w:p w14:paraId="1A83CBB2" w14:textId="77777777" w:rsidR="00587EAF" w:rsidRDefault="00587EAF">
                            <w:pPr>
                              <w:rPr>
                                <w:rFonts w:ascii="楷体_GB2312"/>
                                <w:szCs w:val="21"/>
                              </w:rPr>
                            </w:pPr>
                          </w:p>
                          <w:p w14:paraId="4D2A35C5" w14:textId="77777777" w:rsidR="00587EAF" w:rsidRDefault="00587EAF">
                            <w:pPr>
                              <w:rPr>
                                <w:rFonts w:ascii="楷体_GB2312"/>
                                <w:szCs w:val="21"/>
                              </w:rPr>
                            </w:pPr>
                            <w:r>
                              <w:rPr>
                                <w:rFonts w:ascii="楷体_GB2312" w:hint="eastAsia"/>
                                <w:szCs w:val="21"/>
                              </w:rPr>
                              <w:t>本报告基于本公司及其研究人员认为可信的公开资料或实地调研资料，反映了作者的研究观点，力求独立、客观和公正，结论不受任何第三方的授意或影响。但本公司及其研究人员对这些信息的准确性和完整性不作任何保证，且本报告中的资料、意见、预测均反映报告初次公开发布时的判断，可能会随时调整。本公司对本报告所含信息可在不发出通知的情形下做出修改，投资者应当自行关注相应的更新或修改。本报告所载的资料、工具、意见、信息及推测只提供给客户作参考之用，不构成任何投资、法律、会计或税务的最终操作建议，本公司不就报告中的内容对最终操作建议做出任何担保。本报告中所指的投资及服务可能不适合个别客户，不构成客户私人咨询建议。</w:t>
                            </w:r>
                          </w:p>
                          <w:p w14:paraId="675D92B1" w14:textId="77777777" w:rsidR="00587EAF" w:rsidRDefault="00587EAF">
                            <w:pPr>
                              <w:rPr>
                                <w:rFonts w:ascii="楷体_GB2312"/>
                                <w:szCs w:val="21"/>
                              </w:rPr>
                            </w:pPr>
                          </w:p>
                          <w:p w14:paraId="0BD17F20" w14:textId="77777777" w:rsidR="00587EAF" w:rsidRDefault="00587EAF">
                            <w:pPr>
                              <w:rPr>
                                <w:rFonts w:ascii="楷体_GB2312"/>
                                <w:szCs w:val="21"/>
                              </w:rPr>
                            </w:pPr>
                            <w:r>
                              <w:rPr>
                                <w:rFonts w:ascii="楷体_GB2312" w:hint="eastAsia"/>
                                <w:szCs w:val="21"/>
                              </w:rPr>
                              <w:t>市场有风险，投资需谨慎。在任何情况下，本公司不对任何人因使用本报告中的任何内容所引致的任何损失负任何责任。</w:t>
                            </w:r>
                          </w:p>
                          <w:p w14:paraId="7F069489" w14:textId="77777777" w:rsidR="00587EAF" w:rsidRDefault="00587EAF">
                            <w:pPr>
                              <w:rPr>
                                <w:rFonts w:ascii="楷体_GB2312"/>
                                <w:szCs w:val="21"/>
                              </w:rPr>
                            </w:pPr>
                          </w:p>
                          <w:p w14:paraId="3A7D4887" w14:textId="77777777" w:rsidR="00587EAF" w:rsidRDefault="00587EAF">
                            <w:pPr>
                              <w:rPr>
                                <w:rFonts w:ascii="楷体_GB2312"/>
                                <w:szCs w:val="21"/>
                              </w:rPr>
                            </w:pPr>
                            <w:r>
                              <w:rPr>
                                <w:rFonts w:ascii="楷体_GB2312" w:hint="eastAsia"/>
                                <w:szCs w:val="21"/>
                              </w:rPr>
                              <w:t>投资者应注意，在法律允许的情况下，本公司及其本公司的关联机构可能会持有报告中涉及的公司所发行的证券并进行交易，并可能为这些公司正在提供或争取提供投资银行、财务顾问和金融产品等各种金融服务。本公司及其本公司的关联机构或个人可能在本报告公开发布之前已经使用或了解其中的信息。</w:t>
                            </w:r>
                          </w:p>
                          <w:p w14:paraId="73542726" w14:textId="77777777" w:rsidR="00587EAF" w:rsidRDefault="00587EAF">
                            <w:pPr>
                              <w:rPr>
                                <w:rFonts w:ascii="楷体_GB2312"/>
                                <w:szCs w:val="21"/>
                              </w:rPr>
                            </w:pPr>
                          </w:p>
                          <w:p w14:paraId="7E6EE146" w14:textId="77777777" w:rsidR="00587EAF" w:rsidRDefault="00587EAF">
                            <w:pPr>
                              <w:rPr>
                                <w:rFonts w:ascii="楷体_GB2312"/>
                                <w:szCs w:val="21"/>
                              </w:rPr>
                            </w:pPr>
                            <w:r>
                              <w:rPr>
                                <w:rFonts w:ascii="楷体_GB2312" w:hint="eastAsia"/>
                                <w:szCs w:val="21"/>
                              </w:rPr>
                              <w:t>本报告版权归“中泰证券</w:t>
                            </w:r>
                            <w:r>
                              <w:rPr>
                                <w:rFonts w:ascii="楷体_GB2312" w:cs="黑体" w:hint="eastAsia"/>
                                <w:kern w:val="0"/>
                                <w:szCs w:val="21"/>
                              </w:rPr>
                              <w:t>股份</w:t>
                            </w:r>
                            <w:r>
                              <w:rPr>
                                <w:rFonts w:ascii="楷体_GB2312" w:hint="eastAsia"/>
                                <w:szCs w:val="21"/>
                              </w:rPr>
                              <w:t>有限公司”所有。未经事先本公司书面授权，任何人不得对本报告进行任何形式的发布、复制。如引用、刊发，需注明出处为“中泰证券研究所”，且不得对本报告进行有悖原意的删节或修改。</w:t>
                            </w:r>
                          </w:p>
                        </w:txbxContent>
                      </wps:txbx>
                      <wps:bodyPr rot="0" vert="horz" wrap="square" lIns="91440" tIns="45720" rIns="91440" bIns="45720" anchor="t" anchorCtr="0" upright="1">
                        <a:noAutofit/>
                      </wps:bodyPr>
                    </wps:wsp>
                  </a:graphicData>
                </a:graphic>
              </wp:anchor>
            </w:drawing>
          </mc:Choice>
          <mc:Fallback>
            <w:pict>
              <v:shapetype w14:anchorId="1ABE4B45" id="_x0000_t202" coordsize="21600,21600" o:spt="202" path="m,l,21600r21600,l21600,xe">
                <v:stroke joinstyle="miter"/>
                <v:path gradientshapeok="t" o:connecttype="rect"/>
              </v:shapetype>
              <v:shape id="文本框 1" o:spid="_x0000_s1026" type="#_x0000_t202" style="position:absolute;left:0;text-align:left;margin-left:0;margin-top:7.95pt;width:513pt;height:56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" filled="f" stroked="f">
                <v:textbox>
                  <w:txbxContent>
                    <w:p w14:paraId="6344EFC3" w14:textId="77777777" w:rsidR="00587EAF" w:rsidRDefault="00587EAF">
                      <w:pPr>
                        <w:rPr>
                          <w:rFonts w:ascii="楷体_GB2312"/>
                          <w:b/>
                          <w:sz w:val="24"/>
                        </w:rPr>
                      </w:pPr>
                      <w:r>
                        <w:rPr>
                          <w:rFonts w:ascii="楷体_GB2312" w:hint="eastAsia"/>
                          <w:b/>
                          <w:sz w:val="24"/>
                        </w:rPr>
                        <w:t>重要声明：</w:t>
                      </w:r>
                    </w:p>
                    <w:p w14:paraId="66AEE4DA" w14:textId="77777777" w:rsidR="00587EAF" w:rsidRDefault="00587EAF">
                      <w:pPr>
                        <w:rPr>
                          <w:rFonts w:ascii="楷体_GB2312"/>
                          <w:szCs w:val="21"/>
                        </w:rPr>
                      </w:pPr>
                    </w:p>
                    <w:p w14:paraId="5E8E774E" w14:textId="77777777" w:rsidR="00587EAF" w:rsidRDefault="00587EAF">
                      <w:pPr>
                        <w:rPr>
                          <w:rFonts w:ascii="楷体_GB2312" w:cs="黑体"/>
                          <w:b/>
                          <w:kern w:val="0"/>
                          <w:szCs w:val="21"/>
                        </w:rPr>
                      </w:pPr>
                      <w:r>
                        <w:rPr>
                          <w:rFonts w:ascii="楷体_GB2312" w:cs="黑体" w:hint="eastAsia"/>
                          <w:b/>
                          <w:kern w:val="0"/>
                          <w:szCs w:val="21"/>
                        </w:rPr>
                        <w:t>中泰证券股份有限公司（以下简称“本公司”）具有中国证券监督管理委员会许可的证券投资咨询业务资格。本报告仅供本公司的客户使用。本公司不会因接收人收到本报告而视其为客户。</w:t>
                      </w:r>
                    </w:p>
                    <w:p w14:paraId="1A83CBB2" w14:textId="77777777" w:rsidR="00587EAF" w:rsidRDefault="00587EAF">
                      <w:pPr>
                        <w:rPr>
                          <w:rFonts w:ascii="楷体_GB2312"/>
                          <w:szCs w:val="21"/>
                        </w:rPr>
                      </w:pPr>
                    </w:p>
                    <w:p w14:paraId="4D2A35C5" w14:textId="77777777" w:rsidR="00587EAF" w:rsidRDefault="00587EAF">
                      <w:pPr>
                        <w:rPr>
                          <w:rFonts w:ascii="楷体_GB2312"/>
                          <w:szCs w:val="21"/>
                        </w:rPr>
                      </w:pPr>
                      <w:r>
                        <w:rPr>
                          <w:rFonts w:ascii="楷体_GB2312" w:hint="eastAsia"/>
                          <w:szCs w:val="21"/>
                        </w:rPr>
                        <w:t>本报告基于本公司及其研究人员认为可信的公开资料或实地调研资料，反映了作者的研究观点，力求独立、客观和公正，结论不受任何第三方的授意或影响。但本公司及其研究人员对这些信息的准确性和完整性不作任何保证，且本报告中的资料、意见、预测均反映报告初次公开发布时的判断，可能会随时调整。本公司对本报告所含信息可在不发出通知的情形下做出修改，投资者应当自行关注相应的更新或修改。本报告所载的资料、工具、意见、信息及推测只提供给客户作参考之用，不构成任何投资、法律、会计或税务的最终操作建议，本公司不就报告中的内容对最终操作建议做出任何担保。本报告中所指的投资及服务可能不适合个别客户，不构成客户私人咨询建议。</w:t>
                      </w:r>
                    </w:p>
                    <w:p w14:paraId="675D92B1" w14:textId="77777777" w:rsidR="00587EAF" w:rsidRDefault="00587EAF">
                      <w:pPr>
                        <w:rPr>
                          <w:rFonts w:ascii="楷体_GB2312"/>
                          <w:szCs w:val="21"/>
                        </w:rPr>
                      </w:pPr>
                    </w:p>
                    <w:p w14:paraId="0BD17F20" w14:textId="77777777" w:rsidR="00587EAF" w:rsidRDefault="00587EAF">
                      <w:pPr>
                        <w:rPr>
                          <w:rFonts w:ascii="楷体_GB2312"/>
                          <w:szCs w:val="21"/>
                        </w:rPr>
                      </w:pPr>
                      <w:r>
                        <w:rPr>
                          <w:rFonts w:ascii="楷体_GB2312" w:hint="eastAsia"/>
                          <w:szCs w:val="21"/>
                        </w:rPr>
                        <w:t>市场有风险，投资需谨慎。在任何情况下，本公司不对任何人因使用本报告中的任何内容所引致的任何损失负任何责任。</w:t>
                      </w:r>
                    </w:p>
                    <w:p w14:paraId="7F069489" w14:textId="77777777" w:rsidR="00587EAF" w:rsidRDefault="00587EAF">
                      <w:pPr>
                        <w:rPr>
                          <w:rFonts w:ascii="楷体_GB2312"/>
                          <w:szCs w:val="21"/>
                        </w:rPr>
                      </w:pPr>
                    </w:p>
                    <w:p w14:paraId="3A7D4887" w14:textId="77777777" w:rsidR="00587EAF" w:rsidRDefault="00587EAF">
                      <w:pPr>
                        <w:rPr>
                          <w:rFonts w:ascii="楷体_GB2312"/>
                          <w:szCs w:val="21"/>
                        </w:rPr>
                      </w:pPr>
                      <w:r>
                        <w:rPr>
                          <w:rFonts w:ascii="楷体_GB2312" w:hint="eastAsia"/>
                          <w:szCs w:val="21"/>
                        </w:rPr>
                        <w:t>投资者应注意，在法律允许的情况下，本公司及其本公司的关联机构可能会持有报告中涉及的公司所发行的证券并进行交易，并可能为这些公司正在提供或争取提供投资银行、财务顾问和金融产品等各种金融服务。本公司及其本公司的关联机构或个人可能在本报告公开发布之前已经使用或了解其中的信息。</w:t>
                      </w:r>
                    </w:p>
                    <w:p w14:paraId="73542726" w14:textId="77777777" w:rsidR="00587EAF" w:rsidRDefault="00587EAF">
                      <w:pPr>
                        <w:rPr>
                          <w:rFonts w:ascii="楷体_GB2312"/>
                          <w:szCs w:val="21"/>
                        </w:rPr>
                      </w:pPr>
                    </w:p>
                    <w:p w14:paraId="7E6EE146" w14:textId="77777777" w:rsidR="00587EAF" w:rsidRDefault="00587EAF">
                      <w:pPr>
                        <w:rPr>
                          <w:rFonts w:ascii="楷体_GB2312"/>
                          <w:szCs w:val="21"/>
                        </w:rPr>
                      </w:pPr>
                      <w:r>
                        <w:rPr>
                          <w:rFonts w:ascii="楷体_GB2312" w:hint="eastAsia"/>
                          <w:szCs w:val="21"/>
                        </w:rPr>
                        <w:t>本报告版权归“中泰证券</w:t>
                      </w:r>
                      <w:r>
                        <w:rPr>
                          <w:rFonts w:ascii="楷体_GB2312" w:cs="黑体" w:hint="eastAsia"/>
                          <w:kern w:val="0"/>
                          <w:szCs w:val="21"/>
                        </w:rPr>
                        <w:t>股份</w:t>
                      </w:r>
                      <w:r>
                        <w:rPr>
                          <w:rFonts w:ascii="楷体_GB2312" w:hint="eastAsia"/>
                          <w:szCs w:val="21"/>
                        </w:rPr>
                        <w:t>有限公司”所有。未经事先本公司书面授权，任何人不得对本报告进行任何形式的发布、复制。如引用、刊发，需注明出处为“中泰证券研究所”，且不得对本报告进行有悖原意的删节或修改。</w:t>
                      </w:r>
                    </w:p>
                  </w:txbxContent>
                </v:textbox>
              </v:shape>
            </w:pict>
          </mc:Fallback>
        </mc:AlternateContent>
      </w:r>
    </w:p>
    <w:p w14:paraId="596AE67C" w14:textId="77777777" w:rsidR="0044348C" w:rsidRDefault="0044348C"/>
    <w:p w14:paraId="75191011" w14:textId="77777777" w:rsidR="0044348C" w:rsidRDefault="003209FF">
      <w:r>
        <w:rPr>
          <w:rFonts w:hint="eastAsia"/>
        </w:rPr>
        <w:t xml:space="preserve"> </w:t>
      </w:r>
    </w:p>
    <w:p w14:paraId="5D8A4107" w14:textId="5882A618" w:rsidR="0044348C" w:rsidRDefault="0044348C">
      <w:pPr>
        <w:pStyle w:val="a7"/>
      </w:pPr>
    </w:p>
    <w:sectPr w:rsidR="0044348C">
      <w:headerReference w:type="even" r:id="rId21"/>
      <w:headerReference w:type="default" r:id="rId22"/>
      <w:footerReference w:type="even" r:id="rId23"/>
      <w:footerReference w:type="default" r:id="rId24"/>
      <w:footerReference w:type="first" r:id="rId25"/>
      <w:pgSz w:w="11906" w:h="16838"/>
      <w:pgMar w:top="1440" w:right="851" w:bottom="1247" w:left="851" w:header="567" w:footer="566"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B26D2" w14:textId="77777777" w:rsidR="0045524F" w:rsidRDefault="0045524F">
      <w:r>
        <w:separator/>
      </w:r>
    </w:p>
  </w:endnote>
  <w:endnote w:type="continuationSeparator" w:id="0">
    <w:p w14:paraId="5F2B0549" w14:textId="77777777" w:rsidR="0045524F" w:rsidRDefault="0045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PingFangTC-ligh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1454B" w14:textId="77777777" w:rsidR="00587EAF" w:rsidRDefault="00587EAF">
    <w:pPr>
      <w:framePr w:wrap="around" w:vAnchor="text" w:hAnchor="margin" w:xAlign="center" w:y="1"/>
    </w:pPr>
    <w:r>
      <w:fldChar w:fldCharType="begin"/>
    </w:r>
    <w:r>
      <w:instrText xml:space="preserve">PAGE  </w:instrText>
    </w:r>
    <w:r>
      <w:fldChar w:fldCharType="end"/>
    </w:r>
  </w:p>
  <w:p w14:paraId="7B2C0F81" w14:textId="77777777" w:rsidR="00587EAF" w:rsidRDefault="00587EAF">
    <w:pPr>
      <w:ind w:right="360"/>
    </w:pPr>
  </w:p>
  <w:p w14:paraId="645BD015" w14:textId="77777777" w:rsidR="00587EAF" w:rsidRDefault="00587EAF"/>
  <w:p w14:paraId="314A9829" w14:textId="77777777" w:rsidR="00587EAF" w:rsidRDefault="00587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AC568" w14:textId="71EA386E" w:rsidR="00587EAF" w:rsidRDefault="00587EAF">
    <w:pPr>
      <w:framePr w:wrap="around" w:vAnchor="text" w:hAnchor="margin" w:xAlign="center" w:y="1"/>
    </w:pPr>
    <w:r>
      <w:fldChar w:fldCharType="begin"/>
    </w:r>
    <w:r>
      <w:instrText xml:space="preserve">PAGE  </w:instrText>
    </w:r>
    <w:r>
      <w:fldChar w:fldCharType="separate"/>
    </w:r>
    <w:r w:rsidR="00C23684">
      <w:rPr>
        <w:noProof/>
      </w:rPr>
      <w:t>- 8 -</w:t>
    </w:r>
    <w:r>
      <w:fldChar w:fldCharType="end"/>
    </w:r>
  </w:p>
  <w:p w14:paraId="6B342076" w14:textId="77777777" w:rsidR="00587EAF" w:rsidRDefault="00587EAF">
    <w:pPr>
      <w:pStyle w:val="afc"/>
    </w:pPr>
    <w:r>
      <w:rPr>
        <w:rFonts w:hint="eastAsia"/>
      </w:rPr>
      <w:t>请务必阅读正文之后的重要声明部分</w:t>
    </w:r>
    <w:r>
      <w:rPr>
        <w:noProof/>
      </w:rPr>
      <mc:AlternateContent>
        <mc:Choice Requires="wps">
          <w:drawing>
            <wp:anchor distT="0" distB="0" distL="114300" distR="114300" simplePos="0" relativeHeight="251659264" behindDoc="0" locked="0" layoutInCell="1" allowOverlap="1" wp14:anchorId="258D04A8" wp14:editId="2DF8655E">
              <wp:simplePos x="0" y="0"/>
              <wp:positionH relativeFrom="column">
                <wp:posOffset>-245745</wp:posOffset>
              </wp:positionH>
              <wp:positionV relativeFrom="paragraph">
                <wp:posOffset>-31115</wp:posOffset>
              </wp:positionV>
              <wp:extent cx="6821805" cy="0"/>
              <wp:effectExtent l="11430" t="16510" r="15240" b="1206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1805" cy="0"/>
                      </a:xfrm>
                      <a:prstGeom prst="line">
                        <a:avLst/>
                      </a:prstGeom>
                      <a:noFill/>
                      <a:ln w="15875">
                        <a:solidFill>
                          <a:srgbClr val="E4C4AD"/>
                        </a:solidFill>
                        <a:round/>
                      </a:ln>
                    </wps:spPr>
                    <wps:bodyPr/>
                  </wps:wsp>
                </a:graphicData>
              </a:graphic>
            </wp:anchor>
          </w:drawing>
        </mc:Choice>
        <mc:Fallback>
          <w:pict>
            <v:line w14:anchorId="30F71F6E" id="Line 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9.35pt,-2.45pt" to="517.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" strokecolor="#e4c4ad" strokeweight="1.25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53853" w14:textId="77777777" w:rsidR="00587EAF" w:rsidRDefault="00587EAF">
    <w:pPr>
      <w:ind w:right="-56"/>
      <w:jc w:val="right"/>
      <w:rPr>
        <w:rFonts w:ascii="楷体_GB2312"/>
      </w:rPr>
    </w:pPr>
    <w:r>
      <w:rPr>
        <w:rFonts w:ascii="楷体_GB2312" w:hint="eastAsia"/>
        <w:noProof/>
      </w:rPr>
      <mc:AlternateContent>
        <mc:Choice Requires="wps">
          <w:drawing>
            <wp:anchor distT="0" distB="0" distL="114300" distR="114300" simplePos="0" relativeHeight="251660288" behindDoc="0" locked="0" layoutInCell="1" allowOverlap="1" wp14:anchorId="2D5593CD" wp14:editId="4713F258">
              <wp:simplePos x="0" y="0"/>
              <wp:positionH relativeFrom="column">
                <wp:posOffset>-93345</wp:posOffset>
              </wp:positionH>
              <wp:positionV relativeFrom="paragraph">
                <wp:posOffset>-6985</wp:posOffset>
              </wp:positionV>
              <wp:extent cx="6659880" cy="0"/>
              <wp:effectExtent l="11430" t="12065" r="15240" b="1651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2225">
                        <a:solidFill>
                          <a:srgbClr val="E4C4AD"/>
                        </a:solidFill>
                        <a:round/>
                      </a:ln>
                    </wps:spPr>
                    <wps:bodyPr/>
                  </wps:wsp>
                </a:graphicData>
              </a:graphic>
            </wp:anchor>
          </w:drawing>
        </mc:Choice>
        <mc:Fallback>
          <w:pict>
            <v:line w14:anchorId="1B2868CB" id="Line 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7.35pt,-.55pt" to="517.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" strokecolor="#e4c4ad" strokeweight="1.75pt"/>
          </w:pict>
        </mc:Fallback>
      </mc:AlternateContent>
    </w:r>
    <w:r>
      <w:rPr>
        <w:rFonts w:ascii="楷体_GB2312" w:hint="eastAsia"/>
        <w:b/>
      </w:rPr>
      <w:t>请务必阅读正文之后的重要声明部分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4A314" w14:textId="77777777" w:rsidR="0045524F" w:rsidRDefault="0045524F">
      <w:r>
        <w:separator/>
      </w:r>
    </w:p>
  </w:footnote>
  <w:footnote w:type="continuationSeparator" w:id="0">
    <w:p w14:paraId="4C68D5E3" w14:textId="77777777" w:rsidR="0045524F" w:rsidRDefault="0045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04BFD" w14:textId="77777777" w:rsidR="00587EAF" w:rsidRDefault="00587EAF"/>
  <w:p w14:paraId="23DFEF7F" w14:textId="77777777" w:rsidR="00587EAF" w:rsidRDefault="00587EAF"/>
  <w:p w14:paraId="60F392A8" w14:textId="77777777" w:rsidR="00587EAF" w:rsidRDefault="00587E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6C53E" w14:textId="77777777" w:rsidR="00587EAF" w:rsidRDefault="00587EAF">
    <w:pPr>
      <w:wordWrap w:val="0"/>
      <w:jc w:val="right"/>
      <w:rPr>
        <w:rFonts w:ascii="楷体_GB2312"/>
        <w:b/>
        <w:sz w:val="24"/>
      </w:rPr>
    </w:pPr>
    <w:r>
      <w:rPr>
        <w:rFonts w:ascii="楷体_GB2312" w:hint="eastAsia"/>
        <w:b/>
        <w:noProof/>
        <w:sz w:val="24"/>
      </w:rPr>
      <w:drawing>
        <wp:anchor distT="0" distB="0" distL="114300" distR="114300" simplePos="0" relativeHeight="251662336" behindDoc="0" locked="0" layoutInCell="1" allowOverlap="1" wp14:anchorId="4D18AFB8" wp14:editId="471A00A8">
          <wp:simplePos x="0" y="0"/>
          <wp:positionH relativeFrom="column">
            <wp:posOffset>-121920</wp:posOffset>
          </wp:positionH>
          <wp:positionV relativeFrom="paragraph">
            <wp:posOffset>-77470</wp:posOffset>
          </wp:positionV>
          <wp:extent cx="1914525" cy="514350"/>
          <wp:effectExtent l="0" t="0" r="0" b="0"/>
          <wp:wrapNone/>
          <wp:docPr id="29" name="图片 29" descr="中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中泰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14525" cy="514350"/>
                  </a:xfrm>
                  <a:prstGeom prst="rect">
                    <a:avLst/>
                  </a:prstGeom>
                  <a:noFill/>
                  <a:ln>
                    <a:noFill/>
                  </a:ln>
                </pic:spPr>
              </pic:pic>
            </a:graphicData>
          </a:graphic>
        </wp:anchor>
      </w:drawing>
    </w:r>
    <w:r>
      <w:rPr>
        <w:rFonts w:ascii="楷体_GB2312" w:hint="eastAsia"/>
        <w:b/>
        <w:noProof/>
        <w:sz w:val="24"/>
      </w:rPr>
      <mc:AlternateContent>
        <mc:Choice Requires="wps">
          <w:drawing>
            <wp:anchor distT="0" distB="0" distL="114300" distR="114300" simplePos="0" relativeHeight="251661312" behindDoc="0" locked="0" layoutInCell="1" allowOverlap="1" wp14:anchorId="4B980C90" wp14:editId="2326E0DB">
              <wp:simplePos x="0" y="0"/>
              <wp:positionH relativeFrom="column">
                <wp:posOffset>4086225</wp:posOffset>
              </wp:positionH>
              <wp:positionV relativeFrom="paragraph">
                <wp:posOffset>144780</wp:posOffset>
              </wp:positionV>
              <wp:extent cx="2516505" cy="297180"/>
              <wp:effectExtent l="0" t="1905" r="0" b="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297180"/>
                      </a:xfrm>
                      <a:prstGeom prst="rect">
                        <a:avLst/>
                      </a:prstGeom>
                      <a:noFill/>
                      <a:ln>
                        <a:noFill/>
                      </a:ln>
                      <a:effectLst/>
                    </wps:spPr>
                    <wps:txbx>
                      <w:txbxContent>
                        <w:p w14:paraId="67A7D824" w14:textId="6625709D" w:rsidR="00587EAF" w:rsidRDefault="00587EAF">
                          <w:pPr>
                            <w:pStyle w:val="afd"/>
                          </w:pPr>
                          <w:r>
                            <w:fldChar w:fldCharType="begin">
                              <w:fldData xml:space="preserve">ewAiAHQAaQB0AGwAZQAiADoAIgChgGh5DVTweSIALAAiAG4AdQBtAGIAZQByAFUAbgBpAHQAIgA6
ADEALAAiAHcAbwByAGQAZgBpAGUAbABkAG4AYQBtAGUAIgA6ACIAaQBuAGQAaQBjAGEAdABvAHIA
IgAsACIAbgB1AG0AYgBlAHIAVAB5AHAAZQAiADoAIgBzACIALAAiAG4AdQBtAGIAZQByAEYAbwBy
AG0AYQB0ACIAOgAiACIALAAiAGkAZAAiADoAIgAwADEAMwAiACwAIgBiAG8AbwBrAG0AYQByAGsA
IgA6ACIAcwBpAG4AaQB0AGUAawBfAGYAaQBlAGwAZABfADAAMQAzACIAfQA=
</w:fldData>
                            </w:fldChar>
                          </w:r>
                          <w:r>
                            <w:instrText>ADDIN DATA stockinfo_stkName("${stkcode}")</w:instrText>
                          </w:r>
                          <w:r>
                            <w:fldChar w:fldCharType="end"/>
                          </w:r>
                          <w:r>
                            <w:rPr>
                              <w:rFonts w:hint="eastAsia"/>
                            </w:rPr>
                            <w:t xml:space="preserve">  利率债周报</w:t>
                          </w:r>
                        </w:p>
                      </w:txbxContent>
                    </wps:txbx>
                    <wps:bodyPr rot="0" vert="horz" wrap="square" lIns="91440" tIns="45720" rIns="91440" bIns="45720" anchor="t" anchorCtr="0" upright="1">
                      <a:noAutofit/>
                    </wps:bodyPr>
                  </wps:wsp>
                </a:graphicData>
              </a:graphic>
            </wp:anchor>
          </w:drawing>
        </mc:Choice>
        <mc:Fallback>
          <w:pict>
            <v:shapetype w14:anchorId="4B980C90" id="_x0000_t202" coordsize="21600,21600" o:spt="202" path="m,l,21600r21600,l21600,xe">
              <v:stroke joinstyle="miter"/>
              <v:path gradientshapeok="t" o:connecttype="rect"/>
            </v:shapetype>
            <v:shape id="Text Box 23" o:spid="_x0000_s1027" type="#_x0000_t202" style="position:absolute;left:0;text-align:left;margin-left:321.75pt;margin-top:11.4pt;width:198.15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" filled="f" stroked="f">
              <v:textbox>
                <w:txbxContent>
                  <w:p w14:paraId="67A7D824" w14:textId="6625709D" w:rsidR="00587EAF" w:rsidRDefault="00587EAF">
                    <w:pPr>
                      <w:pStyle w:val="afd"/>
                    </w:pPr>
                    <w:r>
                      <w:fldChar w:fldCharType="begin">
                        <w:fldData xml:space="preserve">ewAiAHQAaQB0AGwAZQAiADoAIgChgGh5DVTweSIALAAiAG4AdQBtAGIAZQByAFUAbgBpAHQAIgA6
ADEALAAiAHcAbwByAGQAZgBpAGUAbABkAG4AYQBtAGUAIgA6ACIAaQBuAGQAaQBjAGEAdABvAHIA
IgAsACIAbgB1AG0AYgBlAHIAVAB5AHAAZQAiADoAIgBzACIALAAiAG4AdQBtAGIAZQByAEYAbwBy
AG0AYQB0ACIAOgAiACIALAAiAGkAZAAiADoAIgAwADEAMwAiACwAIgBiAG8AbwBrAG0AYQByAGsA
IgA6ACIAcwBpAG4AaQB0AGUAawBfAGYAaQBlAGwAZABfADAAMQAzACIAfQA=
</w:fldData>
                      </w:fldChar>
                    </w:r>
                    <w:r>
                      <w:instrText>ADDIN DATA stockinfo_stkName("${stkcode}")</w:instrText>
                    </w:r>
                    <w:r>
                      <w:fldChar w:fldCharType="end"/>
                    </w:r>
                    <w:r>
                      <w:rPr>
                        <w:rFonts w:hint="eastAsia"/>
                      </w:rPr>
                      <w:t xml:space="preserve">  利率债周报</w:t>
                    </w:r>
                  </w:p>
                </w:txbxContent>
              </v:textbox>
            </v:shape>
          </w:pict>
        </mc:Fallback>
      </mc:AlternateContent>
    </w:r>
  </w:p>
  <w:p w14:paraId="1BD997B2" w14:textId="77777777" w:rsidR="00587EAF" w:rsidRDefault="00587EAF"/>
  <w:p w14:paraId="059D35AD" w14:textId="77777777" w:rsidR="00587EAF" w:rsidRDefault="00587E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233C"/>
    <w:multiLevelType w:val="multilevel"/>
    <w:tmpl w:val="04FA233C"/>
    <w:lvl w:ilvl="0">
      <w:start w:val="1"/>
      <w:numFmt w:val="decimal"/>
      <w:pStyle w:val="a"/>
      <w:lvlText w:val="%1）"/>
      <w:lvlJc w:val="left"/>
      <w:pPr>
        <w:tabs>
          <w:tab w:val="left" w:pos="4551"/>
        </w:tabs>
        <w:ind w:left="4551" w:hanging="360"/>
      </w:pPr>
      <w:rPr>
        <w:rFonts w:hint="default"/>
      </w:rPr>
    </w:lvl>
    <w:lvl w:ilvl="1">
      <w:start w:val="1"/>
      <w:numFmt w:val="lowerLetter"/>
      <w:lvlText w:val="%2)"/>
      <w:lvlJc w:val="left"/>
      <w:pPr>
        <w:tabs>
          <w:tab w:val="left" w:pos="5031"/>
        </w:tabs>
        <w:ind w:left="5031" w:hanging="420"/>
      </w:pPr>
    </w:lvl>
    <w:lvl w:ilvl="2">
      <w:start w:val="1"/>
      <w:numFmt w:val="lowerRoman"/>
      <w:lvlText w:val="%3."/>
      <w:lvlJc w:val="right"/>
      <w:pPr>
        <w:tabs>
          <w:tab w:val="left" w:pos="5451"/>
        </w:tabs>
        <w:ind w:left="5451" w:hanging="420"/>
      </w:pPr>
    </w:lvl>
    <w:lvl w:ilvl="3">
      <w:start w:val="1"/>
      <w:numFmt w:val="decimal"/>
      <w:lvlText w:val="%4."/>
      <w:lvlJc w:val="left"/>
      <w:pPr>
        <w:tabs>
          <w:tab w:val="left" w:pos="5871"/>
        </w:tabs>
        <w:ind w:left="5871" w:hanging="420"/>
      </w:pPr>
    </w:lvl>
    <w:lvl w:ilvl="4">
      <w:start w:val="1"/>
      <w:numFmt w:val="lowerLetter"/>
      <w:lvlText w:val="%5)"/>
      <w:lvlJc w:val="left"/>
      <w:pPr>
        <w:tabs>
          <w:tab w:val="left" w:pos="6291"/>
        </w:tabs>
        <w:ind w:left="6291" w:hanging="420"/>
      </w:pPr>
    </w:lvl>
    <w:lvl w:ilvl="5">
      <w:start w:val="1"/>
      <w:numFmt w:val="lowerRoman"/>
      <w:lvlText w:val="%6."/>
      <w:lvlJc w:val="right"/>
      <w:pPr>
        <w:tabs>
          <w:tab w:val="left" w:pos="6711"/>
        </w:tabs>
        <w:ind w:left="6711" w:hanging="420"/>
      </w:pPr>
    </w:lvl>
    <w:lvl w:ilvl="6">
      <w:start w:val="1"/>
      <w:numFmt w:val="decimal"/>
      <w:lvlText w:val="%7."/>
      <w:lvlJc w:val="left"/>
      <w:pPr>
        <w:tabs>
          <w:tab w:val="left" w:pos="7131"/>
        </w:tabs>
        <w:ind w:left="7131" w:hanging="420"/>
      </w:pPr>
    </w:lvl>
    <w:lvl w:ilvl="7">
      <w:start w:val="1"/>
      <w:numFmt w:val="lowerLetter"/>
      <w:lvlText w:val="%8)"/>
      <w:lvlJc w:val="left"/>
      <w:pPr>
        <w:tabs>
          <w:tab w:val="left" w:pos="7551"/>
        </w:tabs>
        <w:ind w:left="7551" w:hanging="420"/>
      </w:pPr>
    </w:lvl>
    <w:lvl w:ilvl="8">
      <w:start w:val="1"/>
      <w:numFmt w:val="lowerRoman"/>
      <w:lvlText w:val="%9."/>
      <w:lvlJc w:val="right"/>
      <w:pPr>
        <w:tabs>
          <w:tab w:val="left" w:pos="7971"/>
        </w:tabs>
        <w:ind w:left="7971" w:hanging="420"/>
      </w:pPr>
    </w:lvl>
  </w:abstractNum>
  <w:abstractNum w:abstractNumId="1" w15:restartNumberingAfterBreak="0">
    <w:nsid w:val="3659368F"/>
    <w:multiLevelType w:val="multilevel"/>
    <w:tmpl w:val="3659368F"/>
    <w:lvl w:ilvl="0">
      <w:start w:val="1"/>
      <w:numFmt w:val="bullet"/>
      <w:lvlText w:val=""/>
      <w:lvlJc w:val="left"/>
      <w:pPr>
        <w:ind w:left="420" w:hanging="420"/>
      </w:pPr>
      <w:rPr>
        <w:rFonts w:ascii="Wingdings" w:hAnsi="Wingdings" w:hint="default"/>
        <w:color w:val="9C1F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0E43E50"/>
    <w:multiLevelType w:val="hybridMultilevel"/>
    <w:tmpl w:val="67768496"/>
    <w:lvl w:ilvl="0" w:tplc="04090003">
      <w:start w:val="1"/>
      <w:numFmt w:val="bullet"/>
      <w:lvlText w:val=""/>
      <w:lvlJc w:val="left"/>
      <w:pPr>
        <w:ind w:left="4101" w:hanging="420"/>
      </w:pPr>
      <w:rPr>
        <w:rFonts w:ascii="Wingdings" w:hAnsi="Wingdings" w:hint="default"/>
      </w:rPr>
    </w:lvl>
    <w:lvl w:ilvl="1" w:tplc="04090003" w:tentative="1">
      <w:start w:val="1"/>
      <w:numFmt w:val="bullet"/>
      <w:lvlText w:val=""/>
      <w:lvlJc w:val="left"/>
      <w:pPr>
        <w:ind w:left="4521" w:hanging="420"/>
      </w:pPr>
      <w:rPr>
        <w:rFonts w:ascii="Wingdings" w:hAnsi="Wingdings" w:hint="default"/>
      </w:rPr>
    </w:lvl>
    <w:lvl w:ilvl="2" w:tplc="04090005" w:tentative="1">
      <w:start w:val="1"/>
      <w:numFmt w:val="bullet"/>
      <w:lvlText w:val=""/>
      <w:lvlJc w:val="left"/>
      <w:pPr>
        <w:ind w:left="4941" w:hanging="420"/>
      </w:pPr>
      <w:rPr>
        <w:rFonts w:ascii="Wingdings" w:hAnsi="Wingdings" w:hint="default"/>
      </w:rPr>
    </w:lvl>
    <w:lvl w:ilvl="3" w:tplc="04090001" w:tentative="1">
      <w:start w:val="1"/>
      <w:numFmt w:val="bullet"/>
      <w:lvlText w:val=""/>
      <w:lvlJc w:val="left"/>
      <w:pPr>
        <w:ind w:left="5361" w:hanging="420"/>
      </w:pPr>
      <w:rPr>
        <w:rFonts w:ascii="Wingdings" w:hAnsi="Wingdings" w:hint="default"/>
      </w:rPr>
    </w:lvl>
    <w:lvl w:ilvl="4" w:tplc="04090003" w:tentative="1">
      <w:start w:val="1"/>
      <w:numFmt w:val="bullet"/>
      <w:lvlText w:val=""/>
      <w:lvlJc w:val="left"/>
      <w:pPr>
        <w:ind w:left="5781" w:hanging="420"/>
      </w:pPr>
      <w:rPr>
        <w:rFonts w:ascii="Wingdings" w:hAnsi="Wingdings" w:hint="default"/>
      </w:rPr>
    </w:lvl>
    <w:lvl w:ilvl="5" w:tplc="04090005" w:tentative="1">
      <w:start w:val="1"/>
      <w:numFmt w:val="bullet"/>
      <w:lvlText w:val=""/>
      <w:lvlJc w:val="left"/>
      <w:pPr>
        <w:ind w:left="6201" w:hanging="420"/>
      </w:pPr>
      <w:rPr>
        <w:rFonts w:ascii="Wingdings" w:hAnsi="Wingdings" w:hint="default"/>
      </w:rPr>
    </w:lvl>
    <w:lvl w:ilvl="6" w:tplc="04090001" w:tentative="1">
      <w:start w:val="1"/>
      <w:numFmt w:val="bullet"/>
      <w:lvlText w:val=""/>
      <w:lvlJc w:val="left"/>
      <w:pPr>
        <w:ind w:left="6621" w:hanging="420"/>
      </w:pPr>
      <w:rPr>
        <w:rFonts w:ascii="Wingdings" w:hAnsi="Wingdings" w:hint="default"/>
      </w:rPr>
    </w:lvl>
    <w:lvl w:ilvl="7" w:tplc="04090003" w:tentative="1">
      <w:start w:val="1"/>
      <w:numFmt w:val="bullet"/>
      <w:lvlText w:val=""/>
      <w:lvlJc w:val="left"/>
      <w:pPr>
        <w:ind w:left="7041" w:hanging="420"/>
      </w:pPr>
      <w:rPr>
        <w:rFonts w:ascii="Wingdings" w:hAnsi="Wingdings" w:hint="default"/>
      </w:rPr>
    </w:lvl>
    <w:lvl w:ilvl="8" w:tplc="04090005" w:tentative="1">
      <w:start w:val="1"/>
      <w:numFmt w:val="bullet"/>
      <w:lvlText w:val=""/>
      <w:lvlJc w:val="left"/>
      <w:pPr>
        <w:ind w:left="7461" w:hanging="420"/>
      </w:pPr>
      <w:rPr>
        <w:rFonts w:ascii="Wingdings" w:hAnsi="Wingdings" w:hint="default"/>
      </w:rPr>
    </w:lvl>
  </w:abstractNum>
  <w:abstractNum w:abstractNumId="3" w15:restartNumberingAfterBreak="0">
    <w:nsid w:val="430D1490"/>
    <w:multiLevelType w:val="hybridMultilevel"/>
    <w:tmpl w:val="F5D474AA"/>
    <w:lvl w:ilvl="0" w:tplc="04090003">
      <w:start w:val="1"/>
      <w:numFmt w:val="bullet"/>
      <w:lvlText w:val=""/>
      <w:lvlJc w:val="left"/>
      <w:pPr>
        <w:ind w:left="4101" w:hanging="420"/>
      </w:pPr>
      <w:rPr>
        <w:rFonts w:ascii="Wingdings" w:hAnsi="Wingdings" w:hint="default"/>
      </w:rPr>
    </w:lvl>
    <w:lvl w:ilvl="1" w:tplc="04090003" w:tentative="1">
      <w:start w:val="1"/>
      <w:numFmt w:val="bullet"/>
      <w:lvlText w:val=""/>
      <w:lvlJc w:val="left"/>
      <w:pPr>
        <w:ind w:left="4521" w:hanging="420"/>
      </w:pPr>
      <w:rPr>
        <w:rFonts w:ascii="Wingdings" w:hAnsi="Wingdings" w:hint="default"/>
      </w:rPr>
    </w:lvl>
    <w:lvl w:ilvl="2" w:tplc="04090005" w:tentative="1">
      <w:start w:val="1"/>
      <w:numFmt w:val="bullet"/>
      <w:lvlText w:val=""/>
      <w:lvlJc w:val="left"/>
      <w:pPr>
        <w:ind w:left="4941" w:hanging="420"/>
      </w:pPr>
      <w:rPr>
        <w:rFonts w:ascii="Wingdings" w:hAnsi="Wingdings" w:hint="default"/>
      </w:rPr>
    </w:lvl>
    <w:lvl w:ilvl="3" w:tplc="04090001" w:tentative="1">
      <w:start w:val="1"/>
      <w:numFmt w:val="bullet"/>
      <w:lvlText w:val=""/>
      <w:lvlJc w:val="left"/>
      <w:pPr>
        <w:ind w:left="5361" w:hanging="420"/>
      </w:pPr>
      <w:rPr>
        <w:rFonts w:ascii="Wingdings" w:hAnsi="Wingdings" w:hint="default"/>
      </w:rPr>
    </w:lvl>
    <w:lvl w:ilvl="4" w:tplc="04090003" w:tentative="1">
      <w:start w:val="1"/>
      <w:numFmt w:val="bullet"/>
      <w:lvlText w:val=""/>
      <w:lvlJc w:val="left"/>
      <w:pPr>
        <w:ind w:left="5781" w:hanging="420"/>
      </w:pPr>
      <w:rPr>
        <w:rFonts w:ascii="Wingdings" w:hAnsi="Wingdings" w:hint="default"/>
      </w:rPr>
    </w:lvl>
    <w:lvl w:ilvl="5" w:tplc="04090005" w:tentative="1">
      <w:start w:val="1"/>
      <w:numFmt w:val="bullet"/>
      <w:lvlText w:val=""/>
      <w:lvlJc w:val="left"/>
      <w:pPr>
        <w:ind w:left="6201" w:hanging="420"/>
      </w:pPr>
      <w:rPr>
        <w:rFonts w:ascii="Wingdings" w:hAnsi="Wingdings" w:hint="default"/>
      </w:rPr>
    </w:lvl>
    <w:lvl w:ilvl="6" w:tplc="04090001" w:tentative="1">
      <w:start w:val="1"/>
      <w:numFmt w:val="bullet"/>
      <w:lvlText w:val=""/>
      <w:lvlJc w:val="left"/>
      <w:pPr>
        <w:ind w:left="6621" w:hanging="420"/>
      </w:pPr>
      <w:rPr>
        <w:rFonts w:ascii="Wingdings" w:hAnsi="Wingdings" w:hint="default"/>
      </w:rPr>
    </w:lvl>
    <w:lvl w:ilvl="7" w:tplc="04090003" w:tentative="1">
      <w:start w:val="1"/>
      <w:numFmt w:val="bullet"/>
      <w:lvlText w:val=""/>
      <w:lvlJc w:val="left"/>
      <w:pPr>
        <w:ind w:left="7041" w:hanging="420"/>
      </w:pPr>
      <w:rPr>
        <w:rFonts w:ascii="Wingdings" w:hAnsi="Wingdings" w:hint="default"/>
      </w:rPr>
    </w:lvl>
    <w:lvl w:ilvl="8" w:tplc="04090005" w:tentative="1">
      <w:start w:val="1"/>
      <w:numFmt w:val="bullet"/>
      <w:lvlText w:val=""/>
      <w:lvlJc w:val="left"/>
      <w:pPr>
        <w:ind w:left="7461" w:hanging="420"/>
      </w:pPr>
      <w:rPr>
        <w:rFonts w:ascii="Wingdings" w:hAnsi="Wingdings" w:hint="default"/>
      </w:rPr>
    </w:lvl>
  </w:abstractNum>
  <w:abstractNum w:abstractNumId="4" w15:restartNumberingAfterBreak="0">
    <w:nsid w:val="492C6DD3"/>
    <w:multiLevelType w:val="multilevel"/>
    <w:tmpl w:val="492C6DD3"/>
    <w:lvl w:ilvl="0">
      <w:start w:val="1"/>
      <w:numFmt w:val="bullet"/>
      <w:lvlText w:val=""/>
      <w:lvlJc w:val="left"/>
      <w:pPr>
        <w:tabs>
          <w:tab w:val="left" w:pos="4329"/>
        </w:tabs>
        <w:ind w:left="3969" w:firstLine="0"/>
      </w:pPr>
      <w:rPr>
        <w:rFonts w:hint="default"/>
        <w:b w:val="0"/>
        <w:i w:val="0"/>
        <w:color w:val="000565"/>
        <w:sz w:val="18"/>
      </w:rPr>
    </w:lvl>
    <w:lvl w:ilvl="1">
      <w:start w:val="1"/>
      <w:numFmt w:val="bullet"/>
      <w:lvlText w:val=""/>
      <w:lvlJc w:val="left"/>
      <w:pPr>
        <w:tabs>
          <w:tab w:val="left" w:pos="4242"/>
        </w:tabs>
        <w:ind w:left="4242" w:hanging="420"/>
      </w:pPr>
      <w:rPr>
        <w:rFonts w:ascii="Wingdings" w:hAnsi="Wingdings" w:hint="default"/>
      </w:rPr>
    </w:lvl>
    <w:lvl w:ilvl="2">
      <w:start w:val="1"/>
      <w:numFmt w:val="bullet"/>
      <w:lvlText w:val=""/>
      <w:lvlJc w:val="left"/>
      <w:pPr>
        <w:tabs>
          <w:tab w:val="left" w:pos="4662"/>
        </w:tabs>
        <w:ind w:left="4662" w:hanging="420"/>
      </w:pPr>
      <w:rPr>
        <w:rFonts w:ascii="Wingdings" w:hAnsi="Wingdings" w:hint="default"/>
      </w:rPr>
    </w:lvl>
    <w:lvl w:ilvl="3">
      <w:start w:val="1"/>
      <w:numFmt w:val="bullet"/>
      <w:lvlText w:val=""/>
      <w:lvlJc w:val="left"/>
      <w:pPr>
        <w:tabs>
          <w:tab w:val="left" w:pos="5082"/>
        </w:tabs>
        <w:ind w:left="5082" w:hanging="420"/>
      </w:pPr>
      <w:rPr>
        <w:rFonts w:ascii="Wingdings" w:hAnsi="Wingdings" w:hint="default"/>
      </w:rPr>
    </w:lvl>
    <w:lvl w:ilvl="4">
      <w:start w:val="1"/>
      <w:numFmt w:val="bullet"/>
      <w:pStyle w:val="a0"/>
      <w:lvlText w:val=""/>
      <w:lvlJc w:val="left"/>
      <w:pPr>
        <w:tabs>
          <w:tab w:val="left" w:pos="3914"/>
        </w:tabs>
        <w:ind w:left="3914" w:hanging="369"/>
      </w:pPr>
      <w:rPr>
        <w:rFonts w:ascii="Wingdings" w:eastAsia="楷体_GB2312" w:hAnsi="Wingdings" w:hint="default"/>
        <w:b w:val="0"/>
        <w:i w:val="0"/>
        <w:color w:val="auto"/>
        <w:sz w:val="18"/>
      </w:rPr>
    </w:lvl>
    <w:lvl w:ilvl="5">
      <w:start w:val="1"/>
      <w:numFmt w:val="bullet"/>
      <w:lvlText w:val=""/>
      <w:lvlJc w:val="left"/>
      <w:pPr>
        <w:tabs>
          <w:tab w:val="left" w:pos="5922"/>
        </w:tabs>
        <w:ind w:left="5922" w:hanging="420"/>
      </w:pPr>
      <w:rPr>
        <w:rFonts w:ascii="Wingdings" w:hAnsi="Wingdings" w:hint="default"/>
      </w:rPr>
    </w:lvl>
    <w:lvl w:ilvl="6">
      <w:start w:val="1"/>
      <w:numFmt w:val="bullet"/>
      <w:lvlText w:val=""/>
      <w:lvlJc w:val="left"/>
      <w:pPr>
        <w:tabs>
          <w:tab w:val="left" w:pos="6342"/>
        </w:tabs>
        <w:ind w:left="6342" w:hanging="420"/>
      </w:pPr>
      <w:rPr>
        <w:rFonts w:ascii="Wingdings" w:hAnsi="Wingdings" w:hint="default"/>
      </w:rPr>
    </w:lvl>
    <w:lvl w:ilvl="7">
      <w:start w:val="1"/>
      <w:numFmt w:val="bullet"/>
      <w:lvlText w:val=""/>
      <w:lvlJc w:val="left"/>
      <w:pPr>
        <w:tabs>
          <w:tab w:val="left" w:pos="6762"/>
        </w:tabs>
        <w:ind w:left="6762" w:hanging="420"/>
      </w:pPr>
      <w:rPr>
        <w:rFonts w:ascii="Wingdings" w:hAnsi="Wingdings" w:hint="default"/>
      </w:rPr>
    </w:lvl>
    <w:lvl w:ilvl="8">
      <w:start w:val="1"/>
      <w:numFmt w:val="bullet"/>
      <w:lvlText w:val=""/>
      <w:lvlJc w:val="left"/>
      <w:pPr>
        <w:tabs>
          <w:tab w:val="left" w:pos="7182"/>
        </w:tabs>
        <w:ind w:left="7182" w:hanging="420"/>
      </w:pPr>
      <w:rPr>
        <w:rFonts w:ascii="Wingdings" w:hAnsi="Wingdings" w:hint="default"/>
      </w:rPr>
    </w:lvl>
  </w:abstractNum>
  <w:abstractNum w:abstractNumId="5" w15:restartNumberingAfterBreak="0">
    <w:nsid w:val="68AC6B11"/>
    <w:multiLevelType w:val="hybridMultilevel"/>
    <w:tmpl w:val="DBA0102C"/>
    <w:lvl w:ilvl="0" w:tplc="04090003">
      <w:start w:val="1"/>
      <w:numFmt w:val="bullet"/>
      <w:lvlText w:val=""/>
      <w:lvlJc w:val="left"/>
      <w:pPr>
        <w:ind w:left="4101" w:hanging="420"/>
      </w:pPr>
      <w:rPr>
        <w:rFonts w:ascii="Wingdings" w:hAnsi="Wingdings" w:hint="default"/>
      </w:rPr>
    </w:lvl>
    <w:lvl w:ilvl="1" w:tplc="04090003" w:tentative="1">
      <w:start w:val="1"/>
      <w:numFmt w:val="bullet"/>
      <w:lvlText w:val=""/>
      <w:lvlJc w:val="left"/>
      <w:pPr>
        <w:ind w:left="4521" w:hanging="420"/>
      </w:pPr>
      <w:rPr>
        <w:rFonts w:ascii="Wingdings" w:hAnsi="Wingdings" w:hint="default"/>
      </w:rPr>
    </w:lvl>
    <w:lvl w:ilvl="2" w:tplc="04090005" w:tentative="1">
      <w:start w:val="1"/>
      <w:numFmt w:val="bullet"/>
      <w:lvlText w:val=""/>
      <w:lvlJc w:val="left"/>
      <w:pPr>
        <w:ind w:left="4941" w:hanging="420"/>
      </w:pPr>
      <w:rPr>
        <w:rFonts w:ascii="Wingdings" w:hAnsi="Wingdings" w:hint="default"/>
      </w:rPr>
    </w:lvl>
    <w:lvl w:ilvl="3" w:tplc="04090001" w:tentative="1">
      <w:start w:val="1"/>
      <w:numFmt w:val="bullet"/>
      <w:lvlText w:val=""/>
      <w:lvlJc w:val="left"/>
      <w:pPr>
        <w:ind w:left="5361" w:hanging="420"/>
      </w:pPr>
      <w:rPr>
        <w:rFonts w:ascii="Wingdings" w:hAnsi="Wingdings" w:hint="default"/>
      </w:rPr>
    </w:lvl>
    <w:lvl w:ilvl="4" w:tplc="04090003" w:tentative="1">
      <w:start w:val="1"/>
      <w:numFmt w:val="bullet"/>
      <w:lvlText w:val=""/>
      <w:lvlJc w:val="left"/>
      <w:pPr>
        <w:ind w:left="5781" w:hanging="420"/>
      </w:pPr>
      <w:rPr>
        <w:rFonts w:ascii="Wingdings" w:hAnsi="Wingdings" w:hint="default"/>
      </w:rPr>
    </w:lvl>
    <w:lvl w:ilvl="5" w:tplc="04090005" w:tentative="1">
      <w:start w:val="1"/>
      <w:numFmt w:val="bullet"/>
      <w:lvlText w:val=""/>
      <w:lvlJc w:val="left"/>
      <w:pPr>
        <w:ind w:left="6201" w:hanging="420"/>
      </w:pPr>
      <w:rPr>
        <w:rFonts w:ascii="Wingdings" w:hAnsi="Wingdings" w:hint="default"/>
      </w:rPr>
    </w:lvl>
    <w:lvl w:ilvl="6" w:tplc="04090001" w:tentative="1">
      <w:start w:val="1"/>
      <w:numFmt w:val="bullet"/>
      <w:lvlText w:val=""/>
      <w:lvlJc w:val="left"/>
      <w:pPr>
        <w:ind w:left="6621" w:hanging="420"/>
      </w:pPr>
      <w:rPr>
        <w:rFonts w:ascii="Wingdings" w:hAnsi="Wingdings" w:hint="default"/>
      </w:rPr>
    </w:lvl>
    <w:lvl w:ilvl="7" w:tplc="04090003" w:tentative="1">
      <w:start w:val="1"/>
      <w:numFmt w:val="bullet"/>
      <w:lvlText w:val=""/>
      <w:lvlJc w:val="left"/>
      <w:pPr>
        <w:ind w:left="7041" w:hanging="420"/>
      </w:pPr>
      <w:rPr>
        <w:rFonts w:ascii="Wingdings" w:hAnsi="Wingdings" w:hint="default"/>
      </w:rPr>
    </w:lvl>
    <w:lvl w:ilvl="8" w:tplc="04090005" w:tentative="1">
      <w:start w:val="1"/>
      <w:numFmt w:val="bullet"/>
      <w:lvlText w:val=""/>
      <w:lvlJc w:val="left"/>
      <w:pPr>
        <w:ind w:left="7461" w:hanging="420"/>
      </w:pPr>
      <w:rPr>
        <w:rFonts w:ascii="Wingdings" w:hAnsi="Wingdings" w:hint="default"/>
      </w:rPr>
    </w:lvl>
  </w:abstractNum>
  <w:abstractNum w:abstractNumId="6" w15:restartNumberingAfterBreak="0">
    <w:nsid w:val="7B3572BD"/>
    <w:multiLevelType w:val="multilevel"/>
    <w:tmpl w:val="7B3572BD"/>
    <w:lvl w:ilvl="0">
      <w:start w:val="1"/>
      <w:numFmt w:val="bullet"/>
      <w:pStyle w:val="a1"/>
      <w:lvlText w:val=""/>
      <w:lvlJc w:val="left"/>
      <w:pPr>
        <w:tabs>
          <w:tab w:val="left" w:pos="420"/>
        </w:tabs>
        <w:ind w:left="420" w:hanging="420"/>
      </w:pPr>
      <w:rPr>
        <w:rFonts w:ascii="Wingdings" w:hAnsi="Wingdings" w:hint="default"/>
        <w:color w:val="9C1F00"/>
      </w:rPr>
    </w:lvl>
    <w:lvl w:ilvl="1">
      <w:start w:val="1"/>
      <w:numFmt w:val="bullet"/>
      <w:lvlText w:val=""/>
      <w:lvlJc w:val="left"/>
      <w:pPr>
        <w:tabs>
          <w:tab w:val="left" w:pos="840"/>
        </w:tabs>
        <w:ind w:left="840" w:hanging="420"/>
      </w:pPr>
      <w:rPr>
        <w:rFonts w:ascii="Wingdings" w:hAnsi="Wingdings" w:hint="default"/>
        <w:color w:val="003366"/>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6"/>
  </w:num>
  <w:num w:numId="2">
    <w:abstractNumId w:val="4"/>
  </w:num>
  <w:num w:numId="3">
    <w:abstractNumId w:val="0"/>
  </w:num>
  <w:num w:numId="4">
    <w:abstractNumId w:val="1"/>
  </w:num>
  <w:num w:numId="5">
    <w:abstractNumId w:val="5"/>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roke="f">
      <v:fill rotate="t" angle="90" type="gradient"/>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C8F"/>
    <w:rsid w:val="00000AF5"/>
    <w:rsid w:val="00002757"/>
    <w:rsid w:val="0000292E"/>
    <w:rsid w:val="00002F18"/>
    <w:rsid w:val="0000357C"/>
    <w:rsid w:val="00003BE7"/>
    <w:rsid w:val="00004261"/>
    <w:rsid w:val="000062BF"/>
    <w:rsid w:val="00006C26"/>
    <w:rsid w:val="000071CE"/>
    <w:rsid w:val="00007FF1"/>
    <w:rsid w:val="00011581"/>
    <w:rsid w:val="0001221F"/>
    <w:rsid w:val="00012284"/>
    <w:rsid w:val="00012C61"/>
    <w:rsid w:val="00013880"/>
    <w:rsid w:val="00013CEF"/>
    <w:rsid w:val="0001417C"/>
    <w:rsid w:val="00014623"/>
    <w:rsid w:val="00014B6F"/>
    <w:rsid w:val="00015253"/>
    <w:rsid w:val="000165BD"/>
    <w:rsid w:val="000173EB"/>
    <w:rsid w:val="000176E5"/>
    <w:rsid w:val="00022110"/>
    <w:rsid w:val="00022218"/>
    <w:rsid w:val="00022C98"/>
    <w:rsid w:val="000241F7"/>
    <w:rsid w:val="00024C3C"/>
    <w:rsid w:val="00027340"/>
    <w:rsid w:val="00030FFC"/>
    <w:rsid w:val="00031688"/>
    <w:rsid w:val="000363E1"/>
    <w:rsid w:val="00036936"/>
    <w:rsid w:val="000379ED"/>
    <w:rsid w:val="00040C7A"/>
    <w:rsid w:val="0004171D"/>
    <w:rsid w:val="00041F7C"/>
    <w:rsid w:val="00042BBD"/>
    <w:rsid w:val="000431FA"/>
    <w:rsid w:val="00047219"/>
    <w:rsid w:val="00047A28"/>
    <w:rsid w:val="000516B2"/>
    <w:rsid w:val="000523DF"/>
    <w:rsid w:val="000526E7"/>
    <w:rsid w:val="00053D61"/>
    <w:rsid w:val="0005400E"/>
    <w:rsid w:val="00055281"/>
    <w:rsid w:val="00055776"/>
    <w:rsid w:val="00056A75"/>
    <w:rsid w:val="00060959"/>
    <w:rsid w:val="00061638"/>
    <w:rsid w:val="00062864"/>
    <w:rsid w:val="000633BA"/>
    <w:rsid w:val="00063BBC"/>
    <w:rsid w:val="00064662"/>
    <w:rsid w:val="000648AD"/>
    <w:rsid w:val="00066F9A"/>
    <w:rsid w:val="00071F4D"/>
    <w:rsid w:val="00072D43"/>
    <w:rsid w:val="00072E34"/>
    <w:rsid w:val="0007322A"/>
    <w:rsid w:val="0007780D"/>
    <w:rsid w:val="00080EA9"/>
    <w:rsid w:val="00083E90"/>
    <w:rsid w:val="000849BB"/>
    <w:rsid w:val="0008517A"/>
    <w:rsid w:val="000855F2"/>
    <w:rsid w:val="000866B5"/>
    <w:rsid w:val="0008721E"/>
    <w:rsid w:val="0009239F"/>
    <w:rsid w:val="000925A7"/>
    <w:rsid w:val="000927A0"/>
    <w:rsid w:val="00092F7B"/>
    <w:rsid w:val="00094CDC"/>
    <w:rsid w:val="00095652"/>
    <w:rsid w:val="00096C77"/>
    <w:rsid w:val="00097EE4"/>
    <w:rsid w:val="000A128E"/>
    <w:rsid w:val="000A1FD9"/>
    <w:rsid w:val="000A2FA5"/>
    <w:rsid w:val="000A2FB5"/>
    <w:rsid w:val="000A3535"/>
    <w:rsid w:val="000A5C37"/>
    <w:rsid w:val="000B0697"/>
    <w:rsid w:val="000B0AB9"/>
    <w:rsid w:val="000B0BD7"/>
    <w:rsid w:val="000B1B92"/>
    <w:rsid w:val="000B3914"/>
    <w:rsid w:val="000B468A"/>
    <w:rsid w:val="000B5199"/>
    <w:rsid w:val="000B713A"/>
    <w:rsid w:val="000B7F83"/>
    <w:rsid w:val="000C0186"/>
    <w:rsid w:val="000C0E43"/>
    <w:rsid w:val="000C124C"/>
    <w:rsid w:val="000C16D5"/>
    <w:rsid w:val="000C1C25"/>
    <w:rsid w:val="000C23A4"/>
    <w:rsid w:val="000C2585"/>
    <w:rsid w:val="000C3384"/>
    <w:rsid w:val="000C40F2"/>
    <w:rsid w:val="000C44C2"/>
    <w:rsid w:val="000C44CC"/>
    <w:rsid w:val="000C56C1"/>
    <w:rsid w:val="000C5CBE"/>
    <w:rsid w:val="000C741D"/>
    <w:rsid w:val="000C7494"/>
    <w:rsid w:val="000C7BB8"/>
    <w:rsid w:val="000D3973"/>
    <w:rsid w:val="000D40CF"/>
    <w:rsid w:val="000D4847"/>
    <w:rsid w:val="000D5E08"/>
    <w:rsid w:val="000D6073"/>
    <w:rsid w:val="000D748C"/>
    <w:rsid w:val="000E06DB"/>
    <w:rsid w:val="000E0A7A"/>
    <w:rsid w:val="000E0BF3"/>
    <w:rsid w:val="000E2C64"/>
    <w:rsid w:val="000E68A4"/>
    <w:rsid w:val="000F077F"/>
    <w:rsid w:val="000F16E1"/>
    <w:rsid w:val="000F2196"/>
    <w:rsid w:val="000F27D1"/>
    <w:rsid w:val="000F288B"/>
    <w:rsid w:val="000F5AF1"/>
    <w:rsid w:val="000F759B"/>
    <w:rsid w:val="000F75E3"/>
    <w:rsid w:val="00100424"/>
    <w:rsid w:val="001004A9"/>
    <w:rsid w:val="00100DE4"/>
    <w:rsid w:val="00102D34"/>
    <w:rsid w:val="00102EB5"/>
    <w:rsid w:val="00102F6C"/>
    <w:rsid w:val="00104862"/>
    <w:rsid w:val="0010555E"/>
    <w:rsid w:val="001062E7"/>
    <w:rsid w:val="001063D8"/>
    <w:rsid w:val="001068BA"/>
    <w:rsid w:val="00106B08"/>
    <w:rsid w:val="0010749E"/>
    <w:rsid w:val="00107802"/>
    <w:rsid w:val="00107F7C"/>
    <w:rsid w:val="001116C5"/>
    <w:rsid w:val="00111D31"/>
    <w:rsid w:val="00112045"/>
    <w:rsid w:val="00112E11"/>
    <w:rsid w:val="001156A8"/>
    <w:rsid w:val="00115D9A"/>
    <w:rsid w:val="001165EE"/>
    <w:rsid w:val="001171E6"/>
    <w:rsid w:val="0011735D"/>
    <w:rsid w:val="001201F4"/>
    <w:rsid w:val="00121460"/>
    <w:rsid w:val="00121E5F"/>
    <w:rsid w:val="0012250E"/>
    <w:rsid w:val="0012275B"/>
    <w:rsid w:val="001241A9"/>
    <w:rsid w:val="0012497B"/>
    <w:rsid w:val="001254DA"/>
    <w:rsid w:val="00125A10"/>
    <w:rsid w:val="00125B61"/>
    <w:rsid w:val="001302BB"/>
    <w:rsid w:val="001318F0"/>
    <w:rsid w:val="001342E3"/>
    <w:rsid w:val="00134901"/>
    <w:rsid w:val="001359C9"/>
    <w:rsid w:val="00136072"/>
    <w:rsid w:val="001400C6"/>
    <w:rsid w:val="00140415"/>
    <w:rsid w:val="00140A5D"/>
    <w:rsid w:val="00140D54"/>
    <w:rsid w:val="00142566"/>
    <w:rsid w:val="001439B1"/>
    <w:rsid w:val="001441C6"/>
    <w:rsid w:val="001450FE"/>
    <w:rsid w:val="00145213"/>
    <w:rsid w:val="00146143"/>
    <w:rsid w:val="00146639"/>
    <w:rsid w:val="00150181"/>
    <w:rsid w:val="0015039F"/>
    <w:rsid w:val="00150A8B"/>
    <w:rsid w:val="00151F12"/>
    <w:rsid w:val="00152F97"/>
    <w:rsid w:val="00153958"/>
    <w:rsid w:val="00154EF7"/>
    <w:rsid w:val="00155684"/>
    <w:rsid w:val="00157495"/>
    <w:rsid w:val="00157EA6"/>
    <w:rsid w:val="00161BB8"/>
    <w:rsid w:val="00161F02"/>
    <w:rsid w:val="00162B83"/>
    <w:rsid w:val="00163684"/>
    <w:rsid w:val="001647E6"/>
    <w:rsid w:val="00164BE4"/>
    <w:rsid w:val="00165435"/>
    <w:rsid w:val="001663F1"/>
    <w:rsid w:val="00166CD8"/>
    <w:rsid w:val="00167261"/>
    <w:rsid w:val="00170167"/>
    <w:rsid w:val="0017382A"/>
    <w:rsid w:val="00175118"/>
    <w:rsid w:val="00176443"/>
    <w:rsid w:val="00176747"/>
    <w:rsid w:val="00177696"/>
    <w:rsid w:val="00181820"/>
    <w:rsid w:val="00181A15"/>
    <w:rsid w:val="00183270"/>
    <w:rsid w:val="0018492E"/>
    <w:rsid w:val="00184AAC"/>
    <w:rsid w:val="00185477"/>
    <w:rsid w:val="001866FF"/>
    <w:rsid w:val="0018786C"/>
    <w:rsid w:val="00191516"/>
    <w:rsid w:val="001943A6"/>
    <w:rsid w:val="001962B8"/>
    <w:rsid w:val="00197754"/>
    <w:rsid w:val="00197BAB"/>
    <w:rsid w:val="001A18D9"/>
    <w:rsid w:val="001A5442"/>
    <w:rsid w:val="001A6213"/>
    <w:rsid w:val="001A62CF"/>
    <w:rsid w:val="001A6F32"/>
    <w:rsid w:val="001A787D"/>
    <w:rsid w:val="001B066D"/>
    <w:rsid w:val="001B0DBF"/>
    <w:rsid w:val="001B0FC2"/>
    <w:rsid w:val="001B4C4D"/>
    <w:rsid w:val="001B6095"/>
    <w:rsid w:val="001B6849"/>
    <w:rsid w:val="001B7301"/>
    <w:rsid w:val="001B7312"/>
    <w:rsid w:val="001B7F97"/>
    <w:rsid w:val="001B7FBB"/>
    <w:rsid w:val="001C0E37"/>
    <w:rsid w:val="001C1A03"/>
    <w:rsid w:val="001C2103"/>
    <w:rsid w:val="001C35B8"/>
    <w:rsid w:val="001C456E"/>
    <w:rsid w:val="001C4A15"/>
    <w:rsid w:val="001C5983"/>
    <w:rsid w:val="001C6109"/>
    <w:rsid w:val="001C67AA"/>
    <w:rsid w:val="001C6EA7"/>
    <w:rsid w:val="001D1DD1"/>
    <w:rsid w:val="001D310D"/>
    <w:rsid w:val="001D356F"/>
    <w:rsid w:val="001D41AE"/>
    <w:rsid w:val="001D4CF5"/>
    <w:rsid w:val="001D501F"/>
    <w:rsid w:val="001D5F75"/>
    <w:rsid w:val="001D7C8E"/>
    <w:rsid w:val="001E0703"/>
    <w:rsid w:val="001E0883"/>
    <w:rsid w:val="001E252A"/>
    <w:rsid w:val="001E4619"/>
    <w:rsid w:val="001E6013"/>
    <w:rsid w:val="001E7E3F"/>
    <w:rsid w:val="001E7ED5"/>
    <w:rsid w:val="001F0BAB"/>
    <w:rsid w:val="001F0BC6"/>
    <w:rsid w:val="001F28A4"/>
    <w:rsid w:val="001F29CE"/>
    <w:rsid w:val="001F3C9F"/>
    <w:rsid w:val="001F497A"/>
    <w:rsid w:val="001F657C"/>
    <w:rsid w:val="001F6EE5"/>
    <w:rsid w:val="00200432"/>
    <w:rsid w:val="00200771"/>
    <w:rsid w:val="00200C36"/>
    <w:rsid w:val="002016F3"/>
    <w:rsid w:val="002022EF"/>
    <w:rsid w:val="0020341D"/>
    <w:rsid w:val="00203690"/>
    <w:rsid w:val="00204161"/>
    <w:rsid w:val="00204754"/>
    <w:rsid w:val="00204759"/>
    <w:rsid w:val="00205A4F"/>
    <w:rsid w:val="00207F7A"/>
    <w:rsid w:val="00210C52"/>
    <w:rsid w:val="002146AE"/>
    <w:rsid w:val="00214D42"/>
    <w:rsid w:val="00216B91"/>
    <w:rsid w:val="00217F49"/>
    <w:rsid w:val="0022060B"/>
    <w:rsid w:val="002212D1"/>
    <w:rsid w:val="002221B0"/>
    <w:rsid w:val="0022331C"/>
    <w:rsid w:val="00223C5F"/>
    <w:rsid w:val="002242D0"/>
    <w:rsid w:val="002242F4"/>
    <w:rsid w:val="00224DAC"/>
    <w:rsid w:val="00224F3B"/>
    <w:rsid w:val="002255C0"/>
    <w:rsid w:val="0022564B"/>
    <w:rsid w:val="00225E2E"/>
    <w:rsid w:val="00226F2E"/>
    <w:rsid w:val="0022728F"/>
    <w:rsid w:val="00227CF7"/>
    <w:rsid w:val="00230FBE"/>
    <w:rsid w:val="002310F8"/>
    <w:rsid w:val="0023271F"/>
    <w:rsid w:val="00232901"/>
    <w:rsid w:val="00233072"/>
    <w:rsid w:val="0023505D"/>
    <w:rsid w:val="00235CE6"/>
    <w:rsid w:val="00235EB2"/>
    <w:rsid w:val="00236CC4"/>
    <w:rsid w:val="0024001F"/>
    <w:rsid w:val="002400FE"/>
    <w:rsid w:val="002401C7"/>
    <w:rsid w:val="002411A8"/>
    <w:rsid w:val="0024152C"/>
    <w:rsid w:val="00241996"/>
    <w:rsid w:val="00241D66"/>
    <w:rsid w:val="00242CAA"/>
    <w:rsid w:val="00243859"/>
    <w:rsid w:val="00245D36"/>
    <w:rsid w:val="00245E00"/>
    <w:rsid w:val="00246457"/>
    <w:rsid w:val="00247D79"/>
    <w:rsid w:val="00247E34"/>
    <w:rsid w:val="0025034F"/>
    <w:rsid w:val="002544A6"/>
    <w:rsid w:val="0025791E"/>
    <w:rsid w:val="002579A9"/>
    <w:rsid w:val="00261B4A"/>
    <w:rsid w:val="00261F1F"/>
    <w:rsid w:val="002645D2"/>
    <w:rsid w:val="00264A4C"/>
    <w:rsid w:val="002663F0"/>
    <w:rsid w:val="002706F4"/>
    <w:rsid w:val="00271C87"/>
    <w:rsid w:val="00272810"/>
    <w:rsid w:val="00275FD5"/>
    <w:rsid w:val="002773CA"/>
    <w:rsid w:val="00280805"/>
    <w:rsid w:val="00280EAD"/>
    <w:rsid w:val="002811D3"/>
    <w:rsid w:val="00282DFE"/>
    <w:rsid w:val="0028365D"/>
    <w:rsid w:val="00283F26"/>
    <w:rsid w:val="002845BC"/>
    <w:rsid w:val="00284702"/>
    <w:rsid w:val="00284738"/>
    <w:rsid w:val="00285547"/>
    <w:rsid w:val="00285CBF"/>
    <w:rsid w:val="00287D31"/>
    <w:rsid w:val="00291B83"/>
    <w:rsid w:val="00292BF3"/>
    <w:rsid w:val="002933F9"/>
    <w:rsid w:val="0029450C"/>
    <w:rsid w:val="00294B7C"/>
    <w:rsid w:val="00296240"/>
    <w:rsid w:val="00296C65"/>
    <w:rsid w:val="0029746D"/>
    <w:rsid w:val="002A06C2"/>
    <w:rsid w:val="002A0D4A"/>
    <w:rsid w:val="002A497A"/>
    <w:rsid w:val="002A4C80"/>
    <w:rsid w:val="002A6298"/>
    <w:rsid w:val="002A7301"/>
    <w:rsid w:val="002A75F3"/>
    <w:rsid w:val="002A7C01"/>
    <w:rsid w:val="002B29DD"/>
    <w:rsid w:val="002B3279"/>
    <w:rsid w:val="002B4FB0"/>
    <w:rsid w:val="002B511B"/>
    <w:rsid w:val="002B5AB5"/>
    <w:rsid w:val="002B655A"/>
    <w:rsid w:val="002B6E18"/>
    <w:rsid w:val="002C1893"/>
    <w:rsid w:val="002C1BA9"/>
    <w:rsid w:val="002C1E73"/>
    <w:rsid w:val="002C3E29"/>
    <w:rsid w:val="002C3F57"/>
    <w:rsid w:val="002C4A69"/>
    <w:rsid w:val="002C4ED9"/>
    <w:rsid w:val="002C6998"/>
    <w:rsid w:val="002D0234"/>
    <w:rsid w:val="002D0B34"/>
    <w:rsid w:val="002D109E"/>
    <w:rsid w:val="002D1598"/>
    <w:rsid w:val="002D27C4"/>
    <w:rsid w:val="002D2A42"/>
    <w:rsid w:val="002D2E8C"/>
    <w:rsid w:val="002D48A3"/>
    <w:rsid w:val="002D4EC2"/>
    <w:rsid w:val="002D5764"/>
    <w:rsid w:val="002D5EBC"/>
    <w:rsid w:val="002D6054"/>
    <w:rsid w:val="002D7A92"/>
    <w:rsid w:val="002D7ADD"/>
    <w:rsid w:val="002D7C1A"/>
    <w:rsid w:val="002E062F"/>
    <w:rsid w:val="002E3142"/>
    <w:rsid w:val="002E32EA"/>
    <w:rsid w:val="002E5267"/>
    <w:rsid w:val="002E5471"/>
    <w:rsid w:val="002E7276"/>
    <w:rsid w:val="002F05CC"/>
    <w:rsid w:val="002F2ADE"/>
    <w:rsid w:val="002F379D"/>
    <w:rsid w:val="002F5454"/>
    <w:rsid w:val="002F7CD3"/>
    <w:rsid w:val="003002FD"/>
    <w:rsid w:val="00300DE2"/>
    <w:rsid w:val="00303F88"/>
    <w:rsid w:val="003048C7"/>
    <w:rsid w:val="00304BDB"/>
    <w:rsid w:val="00307228"/>
    <w:rsid w:val="00310A6C"/>
    <w:rsid w:val="00312AF8"/>
    <w:rsid w:val="003139A4"/>
    <w:rsid w:val="00313E2D"/>
    <w:rsid w:val="0031516A"/>
    <w:rsid w:val="00316034"/>
    <w:rsid w:val="00317E33"/>
    <w:rsid w:val="003209FF"/>
    <w:rsid w:val="00321AA3"/>
    <w:rsid w:val="00324286"/>
    <w:rsid w:val="00324B3B"/>
    <w:rsid w:val="00325A77"/>
    <w:rsid w:val="00326568"/>
    <w:rsid w:val="003267D7"/>
    <w:rsid w:val="003305F0"/>
    <w:rsid w:val="00333254"/>
    <w:rsid w:val="00333303"/>
    <w:rsid w:val="00334298"/>
    <w:rsid w:val="00334E9D"/>
    <w:rsid w:val="003354EC"/>
    <w:rsid w:val="0033561A"/>
    <w:rsid w:val="00340792"/>
    <w:rsid w:val="00340C01"/>
    <w:rsid w:val="00341165"/>
    <w:rsid w:val="00341A50"/>
    <w:rsid w:val="00341F02"/>
    <w:rsid w:val="00341FE0"/>
    <w:rsid w:val="003428B6"/>
    <w:rsid w:val="00344EB6"/>
    <w:rsid w:val="00350241"/>
    <w:rsid w:val="00350DF6"/>
    <w:rsid w:val="0035120E"/>
    <w:rsid w:val="003550D0"/>
    <w:rsid w:val="00355AF3"/>
    <w:rsid w:val="00355BED"/>
    <w:rsid w:val="00357975"/>
    <w:rsid w:val="003612B0"/>
    <w:rsid w:val="003621F6"/>
    <w:rsid w:val="003628A5"/>
    <w:rsid w:val="00363052"/>
    <w:rsid w:val="00363AEF"/>
    <w:rsid w:val="00363BC3"/>
    <w:rsid w:val="00363CD9"/>
    <w:rsid w:val="00363E6A"/>
    <w:rsid w:val="00363F5B"/>
    <w:rsid w:val="00364947"/>
    <w:rsid w:val="00366D80"/>
    <w:rsid w:val="003671AE"/>
    <w:rsid w:val="0037058B"/>
    <w:rsid w:val="00370F2A"/>
    <w:rsid w:val="00371BB3"/>
    <w:rsid w:val="00374A72"/>
    <w:rsid w:val="00375012"/>
    <w:rsid w:val="00375E4C"/>
    <w:rsid w:val="0037720A"/>
    <w:rsid w:val="003808E7"/>
    <w:rsid w:val="00380DF6"/>
    <w:rsid w:val="0038187A"/>
    <w:rsid w:val="00381D9B"/>
    <w:rsid w:val="00381FF8"/>
    <w:rsid w:val="00382BCF"/>
    <w:rsid w:val="00383338"/>
    <w:rsid w:val="003834FC"/>
    <w:rsid w:val="0038386D"/>
    <w:rsid w:val="00383BA5"/>
    <w:rsid w:val="00383F58"/>
    <w:rsid w:val="00383FE0"/>
    <w:rsid w:val="003858A9"/>
    <w:rsid w:val="00385C23"/>
    <w:rsid w:val="003862A1"/>
    <w:rsid w:val="0038633B"/>
    <w:rsid w:val="0038655B"/>
    <w:rsid w:val="00386E6F"/>
    <w:rsid w:val="003903E3"/>
    <w:rsid w:val="00391623"/>
    <w:rsid w:val="00392517"/>
    <w:rsid w:val="003940FE"/>
    <w:rsid w:val="00396E0A"/>
    <w:rsid w:val="00397D4E"/>
    <w:rsid w:val="003A0769"/>
    <w:rsid w:val="003A07CF"/>
    <w:rsid w:val="003A0940"/>
    <w:rsid w:val="003A0E0D"/>
    <w:rsid w:val="003A1AED"/>
    <w:rsid w:val="003A2B7A"/>
    <w:rsid w:val="003A39A1"/>
    <w:rsid w:val="003A4E46"/>
    <w:rsid w:val="003A4FA0"/>
    <w:rsid w:val="003A52A9"/>
    <w:rsid w:val="003A5D48"/>
    <w:rsid w:val="003A6447"/>
    <w:rsid w:val="003B0829"/>
    <w:rsid w:val="003B0DF7"/>
    <w:rsid w:val="003B1629"/>
    <w:rsid w:val="003B3A14"/>
    <w:rsid w:val="003B47B7"/>
    <w:rsid w:val="003B592D"/>
    <w:rsid w:val="003C2533"/>
    <w:rsid w:val="003C26DE"/>
    <w:rsid w:val="003C2DED"/>
    <w:rsid w:val="003C5336"/>
    <w:rsid w:val="003C5C37"/>
    <w:rsid w:val="003C6295"/>
    <w:rsid w:val="003C66A8"/>
    <w:rsid w:val="003C78B9"/>
    <w:rsid w:val="003C79B7"/>
    <w:rsid w:val="003D136F"/>
    <w:rsid w:val="003D1B53"/>
    <w:rsid w:val="003D1FBE"/>
    <w:rsid w:val="003D2F55"/>
    <w:rsid w:val="003D3492"/>
    <w:rsid w:val="003D4614"/>
    <w:rsid w:val="003D46CA"/>
    <w:rsid w:val="003D4A4A"/>
    <w:rsid w:val="003D7CCC"/>
    <w:rsid w:val="003E1CD5"/>
    <w:rsid w:val="003E1F7F"/>
    <w:rsid w:val="003E245F"/>
    <w:rsid w:val="003E3BD1"/>
    <w:rsid w:val="003E4CB0"/>
    <w:rsid w:val="003E6B09"/>
    <w:rsid w:val="003E7046"/>
    <w:rsid w:val="003F1B5F"/>
    <w:rsid w:val="003F25EA"/>
    <w:rsid w:val="003F39B5"/>
    <w:rsid w:val="003F3BE6"/>
    <w:rsid w:val="003F4C83"/>
    <w:rsid w:val="003F58E4"/>
    <w:rsid w:val="003F7227"/>
    <w:rsid w:val="003F76D9"/>
    <w:rsid w:val="003F7FEF"/>
    <w:rsid w:val="0040054E"/>
    <w:rsid w:val="00400EDE"/>
    <w:rsid w:val="00401CE4"/>
    <w:rsid w:val="004021F7"/>
    <w:rsid w:val="00402569"/>
    <w:rsid w:val="00404FB3"/>
    <w:rsid w:val="0040595D"/>
    <w:rsid w:val="0040651D"/>
    <w:rsid w:val="00406B56"/>
    <w:rsid w:val="004112BD"/>
    <w:rsid w:val="00413800"/>
    <w:rsid w:val="00413EF7"/>
    <w:rsid w:val="00414C41"/>
    <w:rsid w:val="004163C5"/>
    <w:rsid w:val="0042033B"/>
    <w:rsid w:val="004211A5"/>
    <w:rsid w:val="00421727"/>
    <w:rsid w:val="004234E5"/>
    <w:rsid w:val="00423632"/>
    <w:rsid w:val="00425127"/>
    <w:rsid w:val="00425D32"/>
    <w:rsid w:val="00427EB6"/>
    <w:rsid w:val="0043034C"/>
    <w:rsid w:val="00431452"/>
    <w:rsid w:val="0043218D"/>
    <w:rsid w:val="004323F3"/>
    <w:rsid w:val="0043320D"/>
    <w:rsid w:val="0043690B"/>
    <w:rsid w:val="00436A5D"/>
    <w:rsid w:val="00436FDA"/>
    <w:rsid w:val="004378CD"/>
    <w:rsid w:val="00440700"/>
    <w:rsid w:val="00440E34"/>
    <w:rsid w:val="004414A1"/>
    <w:rsid w:val="004415AF"/>
    <w:rsid w:val="0044163B"/>
    <w:rsid w:val="00441760"/>
    <w:rsid w:val="0044206C"/>
    <w:rsid w:val="004425EB"/>
    <w:rsid w:val="00442C1F"/>
    <w:rsid w:val="0044348C"/>
    <w:rsid w:val="004441CE"/>
    <w:rsid w:val="0044653C"/>
    <w:rsid w:val="00450516"/>
    <w:rsid w:val="00452892"/>
    <w:rsid w:val="004529A4"/>
    <w:rsid w:val="00452F10"/>
    <w:rsid w:val="00453867"/>
    <w:rsid w:val="00453AD9"/>
    <w:rsid w:val="00454824"/>
    <w:rsid w:val="0045491E"/>
    <w:rsid w:val="004549D1"/>
    <w:rsid w:val="00454DFE"/>
    <w:rsid w:val="0045524F"/>
    <w:rsid w:val="00456E43"/>
    <w:rsid w:val="0046078C"/>
    <w:rsid w:val="00460AA4"/>
    <w:rsid w:val="00462EF6"/>
    <w:rsid w:val="00464A96"/>
    <w:rsid w:val="00464CF3"/>
    <w:rsid w:val="00465808"/>
    <w:rsid w:val="00467EBC"/>
    <w:rsid w:val="00470C9E"/>
    <w:rsid w:val="004710A0"/>
    <w:rsid w:val="00472337"/>
    <w:rsid w:val="00473C3E"/>
    <w:rsid w:val="004745D7"/>
    <w:rsid w:val="0047667E"/>
    <w:rsid w:val="0047698D"/>
    <w:rsid w:val="00476F27"/>
    <w:rsid w:val="00480A13"/>
    <w:rsid w:val="00482E99"/>
    <w:rsid w:val="00483B5D"/>
    <w:rsid w:val="004858A7"/>
    <w:rsid w:val="00485B91"/>
    <w:rsid w:val="00486150"/>
    <w:rsid w:val="0048635C"/>
    <w:rsid w:val="004865E7"/>
    <w:rsid w:val="00487300"/>
    <w:rsid w:val="00487F0B"/>
    <w:rsid w:val="00490058"/>
    <w:rsid w:val="004905C9"/>
    <w:rsid w:val="00490EEA"/>
    <w:rsid w:val="0049122E"/>
    <w:rsid w:val="00491977"/>
    <w:rsid w:val="00491EC1"/>
    <w:rsid w:val="00492401"/>
    <w:rsid w:val="004933DB"/>
    <w:rsid w:val="00493780"/>
    <w:rsid w:val="004939E6"/>
    <w:rsid w:val="004943C4"/>
    <w:rsid w:val="0049511A"/>
    <w:rsid w:val="0049577F"/>
    <w:rsid w:val="004A0958"/>
    <w:rsid w:val="004A1265"/>
    <w:rsid w:val="004A221F"/>
    <w:rsid w:val="004A2490"/>
    <w:rsid w:val="004A2BA5"/>
    <w:rsid w:val="004A3807"/>
    <w:rsid w:val="004A39A4"/>
    <w:rsid w:val="004A560E"/>
    <w:rsid w:val="004A5A36"/>
    <w:rsid w:val="004A6C86"/>
    <w:rsid w:val="004B13AE"/>
    <w:rsid w:val="004B18F4"/>
    <w:rsid w:val="004B1B30"/>
    <w:rsid w:val="004B1DFB"/>
    <w:rsid w:val="004B50AF"/>
    <w:rsid w:val="004B574F"/>
    <w:rsid w:val="004B6B9B"/>
    <w:rsid w:val="004B6BC3"/>
    <w:rsid w:val="004C0799"/>
    <w:rsid w:val="004C0B52"/>
    <w:rsid w:val="004C0CB4"/>
    <w:rsid w:val="004C3065"/>
    <w:rsid w:val="004C3E09"/>
    <w:rsid w:val="004C459C"/>
    <w:rsid w:val="004C4790"/>
    <w:rsid w:val="004C4FE2"/>
    <w:rsid w:val="004C63EA"/>
    <w:rsid w:val="004C644E"/>
    <w:rsid w:val="004C79C3"/>
    <w:rsid w:val="004C7CCB"/>
    <w:rsid w:val="004C7DEE"/>
    <w:rsid w:val="004D118A"/>
    <w:rsid w:val="004D1969"/>
    <w:rsid w:val="004D6335"/>
    <w:rsid w:val="004D7BEC"/>
    <w:rsid w:val="004D7D48"/>
    <w:rsid w:val="004E09F2"/>
    <w:rsid w:val="004E0B98"/>
    <w:rsid w:val="004E239C"/>
    <w:rsid w:val="004E6244"/>
    <w:rsid w:val="004E74A1"/>
    <w:rsid w:val="004F0B56"/>
    <w:rsid w:val="004F1157"/>
    <w:rsid w:val="004F184E"/>
    <w:rsid w:val="004F68CF"/>
    <w:rsid w:val="004F6BE5"/>
    <w:rsid w:val="004F79B8"/>
    <w:rsid w:val="004F7E29"/>
    <w:rsid w:val="0050001F"/>
    <w:rsid w:val="00500429"/>
    <w:rsid w:val="00502CDC"/>
    <w:rsid w:val="005032C0"/>
    <w:rsid w:val="005039BD"/>
    <w:rsid w:val="00503A9C"/>
    <w:rsid w:val="00503F20"/>
    <w:rsid w:val="00503F5B"/>
    <w:rsid w:val="00504AE3"/>
    <w:rsid w:val="0051116D"/>
    <w:rsid w:val="00511C6E"/>
    <w:rsid w:val="00512653"/>
    <w:rsid w:val="0051393B"/>
    <w:rsid w:val="00513B50"/>
    <w:rsid w:val="00514757"/>
    <w:rsid w:val="00514952"/>
    <w:rsid w:val="0051686B"/>
    <w:rsid w:val="00517C29"/>
    <w:rsid w:val="00520892"/>
    <w:rsid w:val="005218FB"/>
    <w:rsid w:val="0052225E"/>
    <w:rsid w:val="00524029"/>
    <w:rsid w:val="00524952"/>
    <w:rsid w:val="0053023F"/>
    <w:rsid w:val="005302F9"/>
    <w:rsid w:val="00530786"/>
    <w:rsid w:val="005309DC"/>
    <w:rsid w:val="005309FD"/>
    <w:rsid w:val="0053105C"/>
    <w:rsid w:val="00533834"/>
    <w:rsid w:val="00533DBA"/>
    <w:rsid w:val="00533DC0"/>
    <w:rsid w:val="0053437D"/>
    <w:rsid w:val="005416F9"/>
    <w:rsid w:val="00542347"/>
    <w:rsid w:val="005442F0"/>
    <w:rsid w:val="00545027"/>
    <w:rsid w:val="00545390"/>
    <w:rsid w:val="00545A4E"/>
    <w:rsid w:val="005462D2"/>
    <w:rsid w:val="005465FE"/>
    <w:rsid w:val="00546FC6"/>
    <w:rsid w:val="00555B43"/>
    <w:rsid w:val="00556100"/>
    <w:rsid w:val="00557483"/>
    <w:rsid w:val="00562879"/>
    <w:rsid w:val="00564837"/>
    <w:rsid w:val="00564AF3"/>
    <w:rsid w:val="00572015"/>
    <w:rsid w:val="00572505"/>
    <w:rsid w:val="00574C2A"/>
    <w:rsid w:val="00575AA7"/>
    <w:rsid w:val="00575B36"/>
    <w:rsid w:val="00575EA1"/>
    <w:rsid w:val="00576278"/>
    <w:rsid w:val="0057729F"/>
    <w:rsid w:val="005772BE"/>
    <w:rsid w:val="00577315"/>
    <w:rsid w:val="00581F3C"/>
    <w:rsid w:val="00582FC1"/>
    <w:rsid w:val="00584873"/>
    <w:rsid w:val="0058557D"/>
    <w:rsid w:val="0058571F"/>
    <w:rsid w:val="00586673"/>
    <w:rsid w:val="00587EAF"/>
    <w:rsid w:val="00590358"/>
    <w:rsid w:val="00590657"/>
    <w:rsid w:val="00590B78"/>
    <w:rsid w:val="00590DA6"/>
    <w:rsid w:val="00592E45"/>
    <w:rsid w:val="00592F3C"/>
    <w:rsid w:val="00593B97"/>
    <w:rsid w:val="0059520D"/>
    <w:rsid w:val="00595D9C"/>
    <w:rsid w:val="00596FDB"/>
    <w:rsid w:val="005970AC"/>
    <w:rsid w:val="005971F0"/>
    <w:rsid w:val="0059725C"/>
    <w:rsid w:val="00597AC0"/>
    <w:rsid w:val="00597B5A"/>
    <w:rsid w:val="005A1198"/>
    <w:rsid w:val="005A5ABB"/>
    <w:rsid w:val="005A6028"/>
    <w:rsid w:val="005A6F44"/>
    <w:rsid w:val="005A7E07"/>
    <w:rsid w:val="005B0067"/>
    <w:rsid w:val="005B00C2"/>
    <w:rsid w:val="005B01B9"/>
    <w:rsid w:val="005B091D"/>
    <w:rsid w:val="005B0A3B"/>
    <w:rsid w:val="005B2536"/>
    <w:rsid w:val="005B2714"/>
    <w:rsid w:val="005B491C"/>
    <w:rsid w:val="005B4F6B"/>
    <w:rsid w:val="005B5588"/>
    <w:rsid w:val="005B6B7E"/>
    <w:rsid w:val="005B6C4A"/>
    <w:rsid w:val="005C0269"/>
    <w:rsid w:val="005C0AA0"/>
    <w:rsid w:val="005C3661"/>
    <w:rsid w:val="005C3B33"/>
    <w:rsid w:val="005C3FC1"/>
    <w:rsid w:val="005C41AE"/>
    <w:rsid w:val="005C5814"/>
    <w:rsid w:val="005C6565"/>
    <w:rsid w:val="005C7904"/>
    <w:rsid w:val="005D111F"/>
    <w:rsid w:val="005D1688"/>
    <w:rsid w:val="005D1B3B"/>
    <w:rsid w:val="005D289C"/>
    <w:rsid w:val="005D6D61"/>
    <w:rsid w:val="005D6DB1"/>
    <w:rsid w:val="005D709C"/>
    <w:rsid w:val="005E1B35"/>
    <w:rsid w:val="005E2D17"/>
    <w:rsid w:val="005E3F46"/>
    <w:rsid w:val="005E4061"/>
    <w:rsid w:val="005E4693"/>
    <w:rsid w:val="005E46A2"/>
    <w:rsid w:val="005E4899"/>
    <w:rsid w:val="005E4ABE"/>
    <w:rsid w:val="005E5733"/>
    <w:rsid w:val="005E5D5A"/>
    <w:rsid w:val="005E7B3E"/>
    <w:rsid w:val="005F066A"/>
    <w:rsid w:val="005F0C44"/>
    <w:rsid w:val="005F0E6C"/>
    <w:rsid w:val="005F0EE4"/>
    <w:rsid w:val="005F104F"/>
    <w:rsid w:val="005F4192"/>
    <w:rsid w:val="005F56DD"/>
    <w:rsid w:val="005F66CC"/>
    <w:rsid w:val="005F6F8D"/>
    <w:rsid w:val="005F747E"/>
    <w:rsid w:val="00601859"/>
    <w:rsid w:val="0060268F"/>
    <w:rsid w:val="006045B3"/>
    <w:rsid w:val="00604B99"/>
    <w:rsid w:val="00606CE3"/>
    <w:rsid w:val="00606ED4"/>
    <w:rsid w:val="006076D1"/>
    <w:rsid w:val="00607F45"/>
    <w:rsid w:val="0061007B"/>
    <w:rsid w:val="0061274C"/>
    <w:rsid w:val="0061439F"/>
    <w:rsid w:val="00615EF8"/>
    <w:rsid w:val="006163F1"/>
    <w:rsid w:val="00617905"/>
    <w:rsid w:val="00617C61"/>
    <w:rsid w:val="00617D80"/>
    <w:rsid w:val="0062044E"/>
    <w:rsid w:val="006224C3"/>
    <w:rsid w:val="00625E35"/>
    <w:rsid w:val="006266F4"/>
    <w:rsid w:val="00626B62"/>
    <w:rsid w:val="00627E58"/>
    <w:rsid w:val="00630BD6"/>
    <w:rsid w:val="00631126"/>
    <w:rsid w:val="0063577D"/>
    <w:rsid w:val="00635DCD"/>
    <w:rsid w:val="00636C40"/>
    <w:rsid w:val="00637025"/>
    <w:rsid w:val="0063797F"/>
    <w:rsid w:val="00641B18"/>
    <w:rsid w:val="0064292B"/>
    <w:rsid w:val="00642B16"/>
    <w:rsid w:val="00642E87"/>
    <w:rsid w:val="00643786"/>
    <w:rsid w:val="006453DE"/>
    <w:rsid w:val="006459D0"/>
    <w:rsid w:val="00645BAD"/>
    <w:rsid w:val="0065016D"/>
    <w:rsid w:val="006502D5"/>
    <w:rsid w:val="006518E3"/>
    <w:rsid w:val="00652A45"/>
    <w:rsid w:val="0065393E"/>
    <w:rsid w:val="00654783"/>
    <w:rsid w:val="00654939"/>
    <w:rsid w:val="00654EE5"/>
    <w:rsid w:val="006552FA"/>
    <w:rsid w:val="00655F32"/>
    <w:rsid w:val="00660A83"/>
    <w:rsid w:val="00662F01"/>
    <w:rsid w:val="00665310"/>
    <w:rsid w:val="00666073"/>
    <w:rsid w:val="006663DE"/>
    <w:rsid w:val="006673A1"/>
    <w:rsid w:val="00667A90"/>
    <w:rsid w:val="006719BD"/>
    <w:rsid w:val="00672A5F"/>
    <w:rsid w:val="00672D41"/>
    <w:rsid w:val="00674B0F"/>
    <w:rsid w:val="00681DF9"/>
    <w:rsid w:val="00681F27"/>
    <w:rsid w:val="00683053"/>
    <w:rsid w:val="006830AB"/>
    <w:rsid w:val="00684986"/>
    <w:rsid w:val="006857E6"/>
    <w:rsid w:val="00685CDE"/>
    <w:rsid w:val="00692888"/>
    <w:rsid w:val="00694293"/>
    <w:rsid w:val="006953C0"/>
    <w:rsid w:val="0069575F"/>
    <w:rsid w:val="006971B4"/>
    <w:rsid w:val="006A0877"/>
    <w:rsid w:val="006A111E"/>
    <w:rsid w:val="006A6509"/>
    <w:rsid w:val="006A7675"/>
    <w:rsid w:val="006A7BE5"/>
    <w:rsid w:val="006A7CFC"/>
    <w:rsid w:val="006B0428"/>
    <w:rsid w:val="006B06B0"/>
    <w:rsid w:val="006B128E"/>
    <w:rsid w:val="006B21FC"/>
    <w:rsid w:val="006B2684"/>
    <w:rsid w:val="006B38DC"/>
    <w:rsid w:val="006B3ACD"/>
    <w:rsid w:val="006B4A90"/>
    <w:rsid w:val="006B4BE8"/>
    <w:rsid w:val="006B50C2"/>
    <w:rsid w:val="006B59E0"/>
    <w:rsid w:val="006C0774"/>
    <w:rsid w:val="006C0D50"/>
    <w:rsid w:val="006C164C"/>
    <w:rsid w:val="006C1EF2"/>
    <w:rsid w:val="006C248A"/>
    <w:rsid w:val="006C30DE"/>
    <w:rsid w:val="006C4477"/>
    <w:rsid w:val="006C4AE6"/>
    <w:rsid w:val="006C52E5"/>
    <w:rsid w:val="006C69D3"/>
    <w:rsid w:val="006D02EC"/>
    <w:rsid w:val="006D1666"/>
    <w:rsid w:val="006D16A6"/>
    <w:rsid w:val="006D1746"/>
    <w:rsid w:val="006D20B9"/>
    <w:rsid w:val="006D472E"/>
    <w:rsid w:val="006D5248"/>
    <w:rsid w:val="006D6691"/>
    <w:rsid w:val="006D674B"/>
    <w:rsid w:val="006D7CDE"/>
    <w:rsid w:val="006E0B6B"/>
    <w:rsid w:val="006E22E6"/>
    <w:rsid w:val="006E2D1E"/>
    <w:rsid w:val="006E3AFF"/>
    <w:rsid w:val="006E4227"/>
    <w:rsid w:val="006E580A"/>
    <w:rsid w:val="006E5938"/>
    <w:rsid w:val="006E7D3D"/>
    <w:rsid w:val="006F0157"/>
    <w:rsid w:val="006F036F"/>
    <w:rsid w:val="006F0A48"/>
    <w:rsid w:val="006F1386"/>
    <w:rsid w:val="006F27EA"/>
    <w:rsid w:val="006F29F0"/>
    <w:rsid w:val="006F3D69"/>
    <w:rsid w:val="006F4571"/>
    <w:rsid w:val="006F6E08"/>
    <w:rsid w:val="006F76A1"/>
    <w:rsid w:val="00700B73"/>
    <w:rsid w:val="0070108F"/>
    <w:rsid w:val="00704560"/>
    <w:rsid w:val="00704A9F"/>
    <w:rsid w:val="007056D8"/>
    <w:rsid w:val="00706AAE"/>
    <w:rsid w:val="007076E1"/>
    <w:rsid w:val="00707F8D"/>
    <w:rsid w:val="0071100D"/>
    <w:rsid w:val="00711220"/>
    <w:rsid w:val="00712A20"/>
    <w:rsid w:val="00713071"/>
    <w:rsid w:val="00713F72"/>
    <w:rsid w:val="007142E5"/>
    <w:rsid w:val="0071555B"/>
    <w:rsid w:val="0071591F"/>
    <w:rsid w:val="0071614E"/>
    <w:rsid w:val="00716B23"/>
    <w:rsid w:val="00717B93"/>
    <w:rsid w:val="007231C1"/>
    <w:rsid w:val="007237EB"/>
    <w:rsid w:val="00725199"/>
    <w:rsid w:val="007256AF"/>
    <w:rsid w:val="00727843"/>
    <w:rsid w:val="0073233D"/>
    <w:rsid w:val="007332EC"/>
    <w:rsid w:val="007352FC"/>
    <w:rsid w:val="0073606B"/>
    <w:rsid w:val="00736B9D"/>
    <w:rsid w:val="00737095"/>
    <w:rsid w:val="0074033A"/>
    <w:rsid w:val="0074234A"/>
    <w:rsid w:val="00743CA2"/>
    <w:rsid w:val="00744E95"/>
    <w:rsid w:val="00746854"/>
    <w:rsid w:val="00750204"/>
    <w:rsid w:val="00751514"/>
    <w:rsid w:val="007519A0"/>
    <w:rsid w:val="00753322"/>
    <w:rsid w:val="0075369E"/>
    <w:rsid w:val="007544E6"/>
    <w:rsid w:val="00754DDF"/>
    <w:rsid w:val="007556D6"/>
    <w:rsid w:val="00755782"/>
    <w:rsid w:val="00760E96"/>
    <w:rsid w:val="00760EA7"/>
    <w:rsid w:val="00761CBE"/>
    <w:rsid w:val="00762DDE"/>
    <w:rsid w:val="007639C7"/>
    <w:rsid w:val="00764013"/>
    <w:rsid w:val="007641CE"/>
    <w:rsid w:val="00764805"/>
    <w:rsid w:val="00764BE0"/>
    <w:rsid w:val="00765ED8"/>
    <w:rsid w:val="00767283"/>
    <w:rsid w:val="007672CA"/>
    <w:rsid w:val="00767840"/>
    <w:rsid w:val="00767CDB"/>
    <w:rsid w:val="007711E5"/>
    <w:rsid w:val="00771D24"/>
    <w:rsid w:val="0077355D"/>
    <w:rsid w:val="00774C07"/>
    <w:rsid w:val="00780684"/>
    <w:rsid w:val="007823CC"/>
    <w:rsid w:val="007823FB"/>
    <w:rsid w:val="00784585"/>
    <w:rsid w:val="007851A6"/>
    <w:rsid w:val="007866FB"/>
    <w:rsid w:val="00786A40"/>
    <w:rsid w:val="00786B06"/>
    <w:rsid w:val="007872FB"/>
    <w:rsid w:val="00791A3D"/>
    <w:rsid w:val="0079298E"/>
    <w:rsid w:val="0079349C"/>
    <w:rsid w:val="007935F9"/>
    <w:rsid w:val="00793CBA"/>
    <w:rsid w:val="00794427"/>
    <w:rsid w:val="00794F35"/>
    <w:rsid w:val="007951D3"/>
    <w:rsid w:val="007A1004"/>
    <w:rsid w:val="007A2651"/>
    <w:rsid w:val="007A31D7"/>
    <w:rsid w:val="007A3E75"/>
    <w:rsid w:val="007A400C"/>
    <w:rsid w:val="007A69F9"/>
    <w:rsid w:val="007B2AB7"/>
    <w:rsid w:val="007B2D72"/>
    <w:rsid w:val="007B3140"/>
    <w:rsid w:val="007B37ED"/>
    <w:rsid w:val="007B3F68"/>
    <w:rsid w:val="007B6E16"/>
    <w:rsid w:val="007C0E6F"/>
    <w:rsid w:val="007C12D4"/>
    <w:rsid w:val="007C14AE"/>
    <w:rsid w:val="007C1625"/>
    <w:rsid w:val="007C426E"/>
    <w:rsid w:val="007C568A"/>
    <w:rsid w:val="007C663E"/>
    <w:rsid w:val="007D1B4A"/>
    <w:rsid w:val="007D2F16"/>
    <w:rsid w:val="007D2F8D"/>
    <w:rsid w:val="007D3CB4"/>
    <w:rsid w:val="007D62DC"/>
    <w:rsid w:val="007D77B2"/>
    <w:rsid w:val="007E1D69"/>
    <w:rsid w:val="007E2941"/>
    <w:rsid w:val="007E352C"/>
    <w:rsid w:val="007E3B42"/>
    <w:rsid w:val="007E3EBD"/>
    <w:rsid w:val="007E71E0"/>
    <w:rsid w:val="007E73F4"/>
    <w:rsid w:val="007F0520"/>
    <w:rsid w:val="007F0FE2"/>
    <w:rsid w:val="007F2977"/>
    <w:rsid w:val="007F5144"/>
    <w:rsid w:val="007F602C"/>
    <w:rsid w:val="007F6EE0"/>
    <w:rsid w:val="007F72E3"/>
    <w:rsid w:val="0080162C"/>
    <w:rsid w:val="00801A29"/>
    <w:rsid w:val="00803226"/>
    <w:rsid w:val="0080556A"/>
    <w:rsid w:val="00806A01"/>
    <w:rsid w:val="00807061"/>
    <w:rsid w:val="00810107"/>
    <w:rsid w:val="00810158"/>
    <w:rsid w:val="008139D7"/>
    <w:rsid w:val="00813BB7"/>
    <w:rsid w:val="00814782"/>
    <w:rsid w:val="0081645D"/>
    <w:rsid w:val="0081688D"/>
    <w:rsid w:val="00816905"/>
    <w:rsid w:val="00816F18"/>
    <w:rsid w:val="008178FE"/>
    <w:rsid w:val="00817C6A"/>
    <w:rsid w:val="00820EB8"/>
    <w:rsid w:val="00821079"/>
    <w:rsid w:val="00821B2D"/>
    <w:rsid w:val="008226CD"/>
    <w:rsid w:val="00822EE5"/>
    <w:rsid w:val="00823D1E"/>
    <w:rsid w:val="00823FB9"/>
    <w:rsid w:val="00824C52"/>
    <w:rsid w:val="008310EC"/>
    <w:rsid w:val="00832777"/>
    <w:rsid w:val="00833446"/>
    <w:rsid w:val="00834B41"/>
    <w:rsid w:val="008364B8"/>
    <w:rsid w:val="008410FA"/>
    <w:rsid w:val="00841137"/>
    <w:rsid w:val="008415E6"/>
    <w:rsid w:val="008426EA"/>
    <w:rsid w:val="008427D8"/>
    <w:rsid w:val="00843BD1"/>
    <w:rsid w:val="008442C4"/>
    <w:rsid w:val="00845433"/>
    <w:rsid w:val="0084578F"/>
    <w:rsid w:val="00845881"/>
    <w:rsid w:val="008467B9"/>
    <w:rsid w:val="00850483"/>
    <w:rsid w:val="0085083F"/>
    <w:rsid w:val="00851405"/>
    <w:rsid w:val="00853941"/>
    <w:rsid w:val="00853DAB"/>
    <w:rsid w:val="00855A0C"/>
    <w:rsid w:val="00856E10"/>
    <w:rsid w:val="00860AA4"/>
    <w:rsid w:val="0086227F"/>
    <w:rsid w:val="0086240C"/>
    <w:rsid w:val="0086382A"/>
    <w:rsid w:val="00863E42"/>
    <w:rsid w:val="008646B2"/>
    <w:rsid w:val="00865852"/>
    <w:rsid w:val="00865C88"/>
    <w:rsid w:val="00867C1C"/>
    <w:rsid w:val="0087186A"/>
    <w:rsid w:val="00871F52"/>
    <w:rsid w:val="0087270C"/>
    <w:rsid w:val="00873F2C"/>
    <w:rsid w:val="008748E0"/>
    <w:rsid w:val="00875177"/>
    <w:rsid w:val="00876371"/>
    <w:rsid w:val="0087648D"/>
    <w:rsid w:val="00883778"/>
    <w:rsid w:val="00884D04"/>
    <w:rsid w:val="0088545C"/>
    <w:rsid w:val="0088616A"/>
    <w:rsid w:val="00886761"/>
    <w:rsid w:val="00886B03"/>
    <w:rsid w:val="00886C82"/>
    <w:rsid w:val="00887084"/>
    <w:rsid w:val="00887A27"/>
    <w:rsid w:val="00890E32"/>
    <w:rsid w:val="00891732"/>
    <w:rsid w:val="00891975"/>
    <w:rsid w:val="0089198B"/>
    <w:rsid w:val="00891BD9"/>
    <w:rsid w:val="00892B2D"/>
    <w:rsid w:val="0089334E"/>
    <w:rsid w:val="0089362F"/>
    <w:rsid w:val="00893D4D"/>
    <w:rsid w:val="008944A0"/>
    <w:rsid w:val="00895691"/>
    <w:rsid w:val="008959AF"/>
    <w:rsid w:val="00896CFD"/>
    <w:rsid w:val="00896D83"/>
    <w:rsid w:val="00897961"/>
    <w:rsid w:val="008A13D5"/>
    <w:rsid w:val="008A16C6"/>
    <w:rsid w:val="008A25C7"/>
    <w:rsid w:val="008A53E0"/>
    <w:rsid w:val="008A6333"/>
    <w:rsid w:val="008A67CD"/>
    <w:rsid w:val="008A6F74"/>
    <w:rsid w:val="008A795D"/>
    <w:rsid w:val="008A7CF6"/>
    <w:rsid w:val="008B10E5"/>
    <w:rsid w:val="008B2AFA"/>
    <w:rsid w:val="008B2C0C"/>
    <w:rsid w:val="008B2F36"/>
    <w:rsid w:val="008B3129"/>
    <w:rsid w:val="008B37E8"/>
    <w:rsid w:val="008B4150"/>
    <w:rsid w:val="008B4DE9"/>
    <w:rsid w:val="008B5DA4"/>
    <w:rsid w:val="008B6311"/>
    <w:rsid w:val="008C2454"/>
    <w:rsid w:val="008C2CB8"/>
    <w:rsid w:val="008C3803"/>
    <w:rsid w:val="008C385E"/>
    <w:rsid w:val="008C74DE"/>
    <w:rsid w:val="008C7EB0"/>
    <w:rsid w:val="008D2B85"/>
    <w:rsid w:val="008D2E29"/>
    <w:rsid w:val="008D3063"/>
    <w:rsid w:val="008D343C"/>
    <w:rsid w:val="008D49BC"/>
    <w:rsid w:val="008D6566"/>
    <w:rsid w:val="008E12FF"/>
    <w:rsid w:val="008E13F8"/>
    <w:rsid w:val="008E14DF"/>
    <w:rsid w:val="008E4403"/>
    <w:rsid w:val="008E5362"/>
    <w:rsid w:val="008E73FB"/>
    <w:rsid w:val="008E7975"/>
    <w:rsid w:val="008F1371"/>
    <w:rsid w:val="008F1AA9"/>
    <w:rsid w:val="008F2CA5"/>
    <w:rsid w:val="008F31A1"/>
    <w:rsid w:val="008F48EC"/>
    <w:rsid w:val="008F4C46"/>
    <w:rsid w:val="008F585D"/>
    <w:rsid w:val="008F7F28"/>
    <w:rsid w:val="00900EE9"/>
    <w:rsid w:val="00901A17"/>
    <w:rsid w:val="00903138"/>
    <w:rsid w:val="00905BEF"/>
    <w:rsid w:val="009066D9"/>
    <w:rsid w:val="00906FEA"/>
    <w:rsid w:val="00911703"/>
    <w:rsid w:val="009123C8"/>
    <w:rsid w:val="0091472D"/>
    <w:rsid w:val="0091492D"/>
    <w:rsid w:val="00914A94"/>
    <w:rsid w:val="00914ED9"/>
    <w:rsid w:val="009156A6"/>
    <w:rsid w:val="00916939"/>
    <w:rsid w:val="00916AF1"/>
    <w:rsid w:val="00917C53"/>
    <w:rsid w:val="0092276F"/>
    <w:rsid w:val="00922D74"/>
    <w:rsid w:val="00922DBC"/>
    <w:rsid w:val="009256E2"/>
    <w:rsid w:val="0092798D"/>
    <w:rsid w:val="0093241F"/>
    <w:rsid w:val="00934E9C"/>
    <w:rsid w:val="009355E1"/>
    <w:rsid w:val="00935ECF"/>
    <w:rsid w:val="00936003"/>
    <w:rsid w:val="009365F9"/>
    <w:rsid w:val="00937EED"/>
    <w:rsid w:val="00940442"/>
    <w:rsid w:val="00941D15"/>
    <w:rsid w:val="00942597"/>
    <w:rsid w:val="00946C83"/>
    <w:rsid w:val="00947DCE"/>
    <w:rsid w:val="0095030E"/>
    <w:rsid w:val="00951885"/>
    <w:rsid w:val="00951B36"/>
    <w:rsid w:val="00952498"/>
    <w:rsid w:val="00952782"/>
    <w:rsid w:val="00953DF9"/>
    <w:rsid w:val="009554C5"/>
    <w:rsid w:val="0095552B"/>
    <w:rsid w:val="00956694"/>
    <w:rsid w:val="00957469"/>
    <w:rsid w:val="00957810"/>
    <w:rsid w:val="00957D13"/>
    <w:rsid w:val="009606AC"/>
    <w:rsid w:val="009609D3"/>
    <w:rsid w:val="00961334"/>
    <w:rsid w:val="0096483F"/>
    <w:rsid w:val="00964B97"/>
    <w:rsid w:val="00965443"/>
    <w:rsid w:val="009655D7"/>
    <w:rsid w:val="0096588E"/>
    <w:rsid w:val="00967AC2"/>
    <w:rsid w:val="00971467"/>
    <w:rsid w:val="0097192C"/>
    <w:rsid w:val="00972B4D"/>
    <w:rsid w:val="00973365"/>
    <w:rsid w:val="00973689"/>
    <w:rsid w:val="00973B49"/>
    <w:rsid w:val="00974246"/>
    <w:rsid w:val="00974359"/>
    <w:rsid w:val="00974A76"/>
    <w:rsid w:val="009762CF"/>
    <w:rsid w:val="00976DFD"/>
    <w:rsid w:val="009771BE"/>
    <w:rsid w:val="009775E1"/>
    <w:rsid w:val="00977B60"/>
    <w:rsid w:val="00977E83"/>
    <w:rsid w:val="00982786"/>
    <w:rsid w:val="00982D77"/>
    <w:rsid w:val="00983E28"/>
    <w:rsid w:val="009844AF"/>
    <w:rsid w:val="009872AF"/>
    <w:rsid w:val="009876EF"/>
    <w:rsid w:val="009901FD"/>
    <w:rsid w:val="00991A07"/>
    <w:rsid w:val="00992EF1"/>
    <w:rsid w:val="00993431"/>
    <w:rsid w:val="009943DA"/>
    <w:rsid w:val="00995933"/>
    <w:rsid w:val="009963B1"/>
    <w:rsid w:val="00996ADF"/>
    <w:rsid w:val="00997451"/>
    <w:rsid w:val="00997869"/>
    <w:rsid w:val="009A0DF0"/>
    <w:rsid w:val="009A1854"/>
    <w:rsid w:val="009A252D"/>
    <w:rsid w:val="009A38A4"/>
    <w:rsid w:val="009A5B3F"/>
    <w:rsid w:val="009A5B42"/>
    <w:rsid w:val="009A6CA0"/>
    <w:rsid w:val="009A6FAC"/>
    <w:rsid w:val="009B1BB6"/>
    <w:rsid w:val="009B2BA1"/>
    <w:rsid w:val="009B4373"/>
    <w:rsid w:val="009B5763"/>
    <w:rsid w:val="009B6FBC"/>
    <w:rsid w:val="009C0793"/>
    <w:rsid w:val="009C24FE"/>
    <w:rsid w:val="009C2D5B"/>
    <w:rsid w:val="009C412A"/>
    <w:rsid w:val="009C6EB9"/>
    <w:rsid w:val="009C7E82"/>
    <w:rsid w:val="009D0B41"/>
    <w:rsid w:val="009D0D56"/>
    <w:rsid w:val="009D1082"/>
    <w:rsid w:val="009D351E"/>
    <w:rsid w:val="009D37FA"/>
    <w:rsid w:val="009D412B"/>
    <w:rsid w:val="009D4252"/>
    <w:rsid w:val="009D4292"/>
    <w:rsid w:val="009D4A8D"/>
    <w:rsid w:val="009D563B"/>
    <w:rsid w:val="009D5B02"/>
    <w:rsid w:val="009D6A19"/>
    <w:rsid w:val="009D7010"/>
    <w:rsid w:val="009D717D"/>
    <w:rsid w:val="009D75E9"/>
    <w:rsid w:val="009E06E9"/>
    <w:rsid w:val="009E31CF"/>
    <w:rsid w:val="009E4132"/>
    <w:rsid w:val="009E4E3C"/>
    <w:rsid w:val="009E610F"/>
    <w:rsid w:val="009E65CD"/>
    <w:rsid w:val="009E7196"/>
    <w:rsid w:val="009F0328"/>
    <w:rsid w:val="009F1102"/>
    <w:rsid w:val="009F1A32"/>
    <w:rsid w:val="009F45B3"/>
    <w:rsid w:val="009F4F01"/>
    <w:rsid w:val="009F6EAA"/>
    <w:rsid w:val="00A009B7"/>
    <w:rsid w:val="00A01DBB"/>
    <w:rsid w:val="00A01F2F"/>
    <w:rsid w:val="00A0207B"/>
    <w:rsid w:val="00A027C3"/>
    <w:rsid w:val="00A040AB"/>
    <w:rsid w:val="00A05035"/>
    <w:rsid w:val="00A06928"/>
    <w:rsid w:val="00A0696A"/>
    <w:rsid w:val="00A07706"/>
    <w:rsid w:val="00A1053E"/>
    <w:rsid w:val="00A10EAE"/>
    <w:rsid w:val="00A1141C"/>
    <w:rsid w:val="00A116D6"/>
    <w:rsid w:val="00A11899"/>
    <w:rsid w:val="00A11F2E"/>
    <w:rsid w:val="00A12C0C"/>
    <w:rsid w:val="00A15CC4"/>
    <w:rsid w:val="00A1671E"/>
    <w:rsid w:val="00A172D5"/>
    <w:rsid w:val="00A17325"/>
    <w:rsid w:val="00A17E28"/>
    <w:rsid w:val="00A201AC"/>
    <w:rsid w:val="00A23167"/>
    <w:rsid w:val="00A23A7D"/>
    <w:rsid w:val="00A24359"/>
    <w:rsid w:val="00A2499E"/>
    <w:rsid w:val="00A24C64"/>
    <w:rsid w:val="00A2643E"/>
    <w:rsid w:val="00A30C73"/>
    <w:rsid w:val="00A30FBE"/>
    <w:rsid w:val="00A31600"/>
    <w:rsid w:val="00A32031"/>
    <w:rsid w:val="00A32B0F"/>
    <w:rsid w:val="00A33A78"/>
    <w:rsid w:val="00A34C17"/>
    <w:rsid w:val="00A40028"/>
    <w:rsid w:val="00A41862"/>
    <w:rsid w:val="00A41ACA"/>
    <w:rsid w:val="00A42486"/>
    <w:rsid w:val="00A43BAF"/>
    <w:rsid w:val="00A446B1"/>
    <w:rsid w:val="00A46E09"/>
    <w:rsid w:val="00A507EA"/>
    <w:rsid w:val="00A5094E"/>
    <w:rsid w:val="00A51758"/>
    <w:rsid w:val="00A52F14"/>
    <w:rsid w:val="00A54103"/>
    <w:rsid w:val="00A54541"/>
    <w:rsid w:val="00A5481C"/>
    <w:rsid w:val="00A54C97"/>
    <w:rsid w:val="00A56634"/>
    <w:rsid w:val="00A5698E"/>
    <w:rsid w:val="00A56AAB"/>
    <w:rsid w:val="00A56EE9"/>
    <w:rsid w:val="00A57258"/>
    <w:rsid w:val="00A60B58"/>
    <w:rsid w:val="00A61549"/>
    <w:rsid w:val="00A615AB"/>
    <w:rsid w:val="00A618C7"/>
    <w:rsid w:val="00A62846"/>
    <w:rsid w:val="00A64E22"/>
    <w:rsid w:val="00A66223"/>
    <w:rsid w:val="00A71A83"/>
    <w:rsid w:val="00A7262D"/>
    <w:rsid w:val="00A72875"/>
    <w:rsid w:val="00A75772"/>
    <w:rsid w:val="00A77178"/>
    <w:rsid w:val="00A77DC9"/>
    <w:rsid w:val="00A81167"/>
    <w:rsid w:val="00A8251B"/>
    <w:rsid w:val="00A84DC1"/>
    <w:rsid w:val="00A867AA"/>
    <w:rsid w:val="00A9002C"/>
    <w:rsid w:val="00A9212D"/>
    <w:rsid w:val="00A92236"/>
    <w:rsid w:val="00A9240F"/>
    <w:rsid w:val="00A92C99"/>
    <w:rsid w:val="00A92E10"/>
    <w:rsid w:val="00A93087"/>
    <w:rsid w:val="00A942B3"/>
    <w:rsid w:val="00A94DD6"/>
    <w:rsid w:val="00A97D94"/>
    <w:rsid w:val="00AA035C"/>
    <w:rsid w:val="00AA12C5"/>
    <w:rsid w:val="00AA2058"/>
    <w:rsid w:val="00AA2B09"/>
    <w:rsid w:val="00AA555A"/>
    <w:rsid w:val="00AA63A7"/>
    <w:rsid w:val="00AA740F"/>
    <w:rsid w:val="00AB0146"/>
    <w:rsid w:val="00AB1F3E"/>
    <w:rsid w:val="00AB2429"/>
    <w:rsid w:val="00AB27FC"/>
    <w:rsid w:val="00AB3CCF"/>
    <w:rsid w:val="00AB494D"/>
    <w:rsid w:val="00AB6D1D"/>
    <w:rsid w:val="00AB7CAB"/>
    <w:rsid w:val="00AC1E65"/>
    <w:rsid w:val="00AC2256"/>
    <w:rsid w:val="00AC285B"/>
    <w:rsid w:val="00AC2E4E"/>
    <w:rsid w:val="00AC3286"/>
    <w:rsid w:val="00AC44E3"/>
    <w:rsid w:val="00AC4529"/>
    <w:rsid w:val="00AC45FD"/>
    <w:rsid w:val="00AC6326"/>
    <w:rsid w:val="00AC681A"/>
    <w:rsid w:val="00AC695E"/>
    <w:rsid w:val="00AD388B"/>
    <w:rsid w:val="00AD3E5B"/>
    <w:rsid w:val="00AD6D3A"/>
    <w:rsid w:val="00AD7A07"/>
    <w:rsid w:val="00AE176C"/>
    <w:rsid w:val="00AE276A"/>
    <w:rsid w:val="00AE3454"/>
    <w:rsid w:val="00AE449F"/>
    <w:rsid w:val="00AE4656"/>
    <w:rsid w:val="00AE4AEB"/>
    <w:rsid w:val="00AE5C99"/>
    <w:rsid w:val="00AE75B3"/>
    <w:rsid w:val="00AE7D53"/>
    <w:rsid w:val="00AF0917"/>
    <w:rsid w:val="00AF0D26"/>
    <w:rsid w:val="00AF124F"/>
    <w:rsid w:val="00AF41A8"/>
    <w:rsid w:val="00AF41AC"/>
    <w:rsid w:val="00AF5A11"/>
    <w:rsid w:val="00AF5DC8"/>
    <w:rsid w:val="00AF606E"/>
    <w:rsid w:val="00AF6E5B"/>
    <w:rsid w:val="00AF7583"/>
    <w:rsid w:val="00AF7F35"/>
    <w:rsid w:val="00B002F1"/>
    <w:rsid w:val="00B00429"/>
    <w:rsid w:val="00B009EB"/>
    <w:rsid w:val="00B01B52"/>
    <w:rsid w:val="00B02028"/>
    <w:rsid w:val="00B0348D"/>
    <w:rsid w:val="00B057BB"/>
    <w:rsid w:val="00B05BA7"/>
    <w:rsid w:val="00B104FA"/>
    <w:rsid w:val="00B13D74"/>
    <w:rsid w:val="00B1404C"/>
    <w:rsid w:val="00B179EC"/>
    <w:rsid w:val="00B2181F"/>
    <w:rsid w:val="00B23769"/>
    <w:rsid w:val="00B264BC"/>
    <w:rsid w:val="00B26A72"/>
    <w:rsid w:val="00B27E59"/>
    <w:rsid w:val="00B321E0"/>
    <w:rsid w:val="00B33A20"/>
    <w:rsid w:val="00B35B49"/>
    <w:rsid w:val="00B368B3"/>
    <w:rsid w:val="00B400A8"/>
    <w:rsid w:val="00B4074B"/>
    <w:rsid w:val="00B41D2B"/>
    <w:rsid w:val="00B42A86"/>
    <w:rsid w:val="00B451CF"/>
    <w:rsid w:val="00B4691E"/>
    <w:rsid w:val="00B475E4"/>
    <w:rsid w:val="00B47D21"/>
    <w:rsid w:val="00B516FC"/>
    <w:rsid w:val="00B5220B"/>
    <w:rsid w:val="00B53426"/>
    <w:rsid w:val="00B538F9"/>
    <w:rsid w:val="00B54546"/>
    <w:rsid w:val="00B569DC"/>
    <w:rsid w:val="00B56DDC"/>
    <w:rsid w:val="00B60632"/>
    <w:rsid w:val="00B61FB3"/>
    <w:rsid w:val="00B62A42"/>
    <w:rsid w:val="00B63435"/>
    <w:rsid w:val="00B6592C"/>
    <w:rsid w:val="00B700FB"/>
    <w:rsid w:val="00B70849"/>
    <w:rsid w:val="00B71AC6"/>
    <w:rsid w:val="00B73922"/>
    <w:rsid w:val="00B74AC2"/>
    <w:rsid w:val="00B76E96"/>
    <w:rsid w:val="00B773C6"/>
    <w:rsid w:val="00B77D8E"/>
    <w:rsid w:val="00B77F16"/>
    <w:rsid w:val="00B81526"/>
    <w:rsid w:val="00B817C3"/>
    <w:rsid w:val="00B82A0A"/>
    <w:rsid w:val="00B833AA"/>
    <w:rsid w:val="00B84E03"/>
    <w:rsid w:val="00B85788"/>
    <w:rsid w:val="00B8655B"/>
    <w:rsid w:val="00B868B1"/>
    <w:rsid w:val="00B8726D"/>
    <w:rsid w:val="00B90159"/>
    <w:rsid w:val="00B90659"/>
    <w:rsid w:val="00B9157D"/>
    <w:rsid w:val="00B9157E"/>
    <w:rsid w:val="00B92105"/>
    <w:rsid w:val="00B93151"/>
    <w:rsid w:val="00B9446B"/>
    <w:rsid w:val="00B9484B"/>
    <w:rsid w:val="00B9555F"/>
    <w:rsid w:val="00BA1BEE"/>
    <w:rsid w:val="00BA1FDA"/>
    <w:rsid w:val="00BA3B9D"/>
    <w:rsid w:val="00BA7A28"/>
    <w:rsid w:val="00BA7E96"/>
    <w:rsid w:val="00BB1862"/>
    <w:rsid w:val="00BB27AB"/>
    <w:rsid w:val="00BB2F65"/>
    <w:rsid w:val="00BB35E5"/>
    <w:rsid w:val="00BB5250"/>
    <w:rsid w:val="00BB6053"/>
    <w:rsid w:val="00BB6C81"/>
    <w:rsid w:val="00BB6EE4"/>
    <w:rsid w:val="00BB75AB"/>
    <w:rsid w:val="00BC30E0"/>
    <w:rsid w:val="00BC3961"/>
    <w:rsid w:val="00BC39E9"/>
    <w:rsid w:val="00BC4312"/>
    <w:rsid w:val="00BC474F"/>
    <w:rsid w:val="00BC5160"/>
    <w:rsid w:val="00BC635B"/>
    <w:rsid w:val="00BC7CBE"/>
    <w:rsid w:val="00BD1708"/>
    <w:rsid w:val="00BD3114"/>
    <w:rsid w:val="00BD40DB"/>
    <w:rsid w:val="00BD45A1"/>
    <w:rsid w:val="00BD4BC3"/>
    <w:rsid w:val="00BD4D9B"/>
    <w:rsid w:val="00BD4DFA"/>
    <w:rsid w:val="00BD780C"/>
    <w:rsid w:val="00BE0EA4"/>
    <w:rsid w:val="00BE271D"/>
    <w:rsid w:val="00BE4425"/>
    <w:rsid w:val="00BE450B"/>
    <w:rsid w:val="00BE4B14"/>
    <w:rsid w:val="00BE51A3"/>
    <w:rsid w:val="00BE563B"/>
    <w:rsid w:val="00BE592F"/>
    <w:rsid w:val="00BE6169"/>
    <w:rsid w:val="00BE6DE8"/>
    <w:rsid w:val="00BE6F08"/>
    <w:rsid w:val="00BF1209"/>
    <w:rsid w:val="00BF28D0"/>
    <w:rsid w:val="00BF3AB4"/>
    <w:rsid w:val="00BF41DF"/>
    <w:rsid w:val="00BF5678"/>
    <w:rsid w:val="00BF5898"/>
    <w:rsid w:val="00BF6591"/>
    <w:rsid w:val="00C01B97"/>
    <w:rsid w:val="00C038F2"/>
    <w:rsid w:val="00C06B5E"/>
    <w:rsid w:val="00C06EFF"/>
    <w:rsid w:val="00C07CC4"/>
    <w:rsid w:val="00C11660"/>
    <w:rsid w:val="00C12836"/>
    <w:rsid w:val="00C12A3C"/>
    <w:rsid w:val="00C130B6"/>
    <w:rsid w:val="00C143F2"/>
    <w:rsid w:val="00C14FB5"/>
    <w:rsid w:val="00C15C42"/>
    <w:rsid w:val="00C2126B"/>
    <w:rsid w:val="00C22D83"/>
    <w:rsid w:val="00C23684"/>
    <w:rsid w:val="00C243FA"/>
    <w:rsid w:val="00C24CF6"/>
    <w:rsid w:val="00C2598F"/>
    <w:rsid w:val="00C25E96"/>
    <w:rsid w:val="00C2641B"/>
    <w:rsid w:val="00C278F3"/>
    <w:rsid w:val="00C308D8"/>
    <w:rsid w:val="00C30E3F"/>
    <w:rsid w:val="00C32DE7"/>
    <w:rsid w:val="00C34A6F"/>
    <w:rsid w:val="00C354B7"/>
    <w:rsid w:val="00C35D16"/>
    <w:rsid w:val="00C37736"/>
    <w:rsid w:val="00C37881"/>
    <w:rsid w:val="00C422E6"/>
    <w:rsid w:val="00C44B71"/>
    <w:rsid w:val="00C44D7B"/>
    <w:rsid w:val="00C45607"/>
    <w:rsid w:val="00C465C1"/>
    <w:rsid w:val="00C4691C"/>
    <w:rsid w:val="00C46C92"/>
    <w:rsid w:val="00C50A20"/>
    <w:rsid w:val="00C5225A"/>
    <w:rsid w:val="00C549CA"/>
    <w:rsid w:val="00C5574A"/>
    <w:rsid w:val="00C55C4C"/>
    <w:rsid w:val="00C608C6"/>
    <w:rsid w:val="00C60EF1"/>
    <w:rsid w:val="00C63A5B"/>
    <w:rsid w:val="00C63FAF"/>
    <w:rsid w:val="00C6451D"/>
    <w:rsid w:val="00C666E6"/>
    <w:rsid w:val="00C700A9"/>
    <w:rsid w:val="00C72E49"/>
    <w:rsid w:val="00C73BA6"/>
    <w:rsid w:val="00C75726"/>
    <w:rsid w:val="00C75E15"/>
    <w:rsid w:val="00C76EF2"/>
    <w:rsid w:val="00C80F7E"/>
    <w:rsid w:val="00C823B2"/>
    <w:rsid w:val="00C82C6E"/>
    <w:rsid w:val="00C83252"/>
    <w:rsid w:val="00C836F6"/>
    <w:rsid w:val="00C839C3"/>
    <w:rsid w:val="00C83B26"/>
    <w:rsid w:val="00C84386"/>
    <w:rsid w:val="00C84909"/>
    <w:rsid w:val="00C86184"/>
    <w:rsid w:val="00C87775"/>
    <w:rsid w:val="00C90A68"/>
    <w:rsid w:val="00C92D61"/>
    <w:rsid w:val="00C93D17"/>
    <w:rsid w:val="00C9484F"/>
    <w:rsid w:val="00C959DB"/>
    <w:rsid w:val="00C97383"/>
    <w:rsid w:val="00CA13FB"/>
    <w:rsid w:val="00CA2600"/>
    <w:rsid w:val="00CA3814"/>
    <w:rsid w:val="00CA7439"/>
    <w:rsid w:val="00CB1089"/>
    <w:rsid w:val="00CB111D"/>
    <w:rsid w:val="00CB1E03"/>
    <w:rsid w:val="00CB2037"/>
    <w:rsid w:val="00CB2B0F"/>
    <w:rsid w:val="00CB35D7"/>
    <w:rsid w:val="00CB37A8"/>
    <w:rsid w:val="00CB4103"/>
    <w:rsid w:val="00CB4CC3"/>
    <w:rsid w:val="00CB5C11"/>
    <w:rsid w:val="00CB5F28"/>
    <w:rsid w:val="00CB6A7F"/>
    <w:rsid w:val="00CB7BF9"/>
    <w:rsid w:val="00CC0FE1"/>
    <w:rsid w:val="00CC1650"/>
    <w:rsid w:val="00CC1ACA"/>
    <w:rsid w:val="00CC1AFE"/>
    <w:rsid w:val="00CC3ABA"/>
    <w:rsid w:val="00CC7058"/>
    <w:rsid w:val="00CD0773"/>
    <w:rsid w:val="00CD2157"/>
    <w:rsid w:val="00CD4018"/>
    <w:rsid w:val="00CD4761"/>
    <w:rsid w:val="00CD523C"/>
    <w:rsid w:val="00CE2A07"/>
    <w:rsid w:val="00CE5178"/>
    <w:rsid w:val="00CE5386"/>
    <w:rsid w:val="00CE5969"/>
    <w:rsid w:val="00CE7065"/>
    <w:rsid w:val="00CE7FDD"/>
    <w:rsid w:val="00CF0397"/>
    <w:rsid w:val="00CF1929"/>
    <w:rsid w:val="00CF1F99"/>
    <w:rsid w:val="00CF216E"/>
    <w:rsid w:val="00CF2E9E"/>
    <w:rsid w:val="00CF31C7"/>
    <w:rsid w:val="00CF32B5"/>
    <w:rsid w:val="00CF44CC"/>
    <w:rsid w:val="00CF5C75"/>
    <w:rsid w:val="00D01BEC"/>
    <w:rsid w:val="00D02A3E"/>
    <w:rsid w:val="00D03F3D"/>
    <w:rsid w:val="00D108DD"/>
    <w:rsid w:val="00D14D42"/>
    <w:rsid w:val="00D1526F"/>
    <w:rsid w:val="00D201B4"/>
    <w:rsid w:val="00D20213"/>
    <w:rsid w:val="00D20747"/>
    <w:rsid w:val="00D20E14"/>
    <w:rsid w:val="00D22C66"/>
    <w:rsid w:val="00D243A1"/>
    <w:rsid w:val="00D24744"/>
    <w:rsid w:val="00D24B74"/>
    <w:rsid w:val="00D259CB"/>
    <w:rsid w:val="00D27C14"/>
    <w:rsid w:val="00D27F35"/>
    <w:rsid w:val="00D321CC"/>
    <w:rsid w:val="00D32CB0"/>
    <w:rsid w:val="00D32F01"/>
    <w:rsid w:val="00D33C8F"/>
    <w:rsid w:val="00D3487D"/>
    <w:rsid w:val="00D35A8E"/>
    <w:rsid w:val="00D35B14"/>
    <w:rsid w:val="00D36029"/>
    <w:rsid w:val="00D36548"/>
    <w:rsid w:val="00D374D1"/>
    <w:rsid w:val="00D44181"/>
    <w:rsid w:val="00D441D4"/>
    <w:rsid w:val="00D44A1F"/>
    <w:rsid w:val="00D45D6C"/>
    <w:rsid w:val="00D47D1A"/>
    <w:rsid w:val="00D508B7"/>
    <w:rsid w:val="00D5223A"/>
    <w:rsid w:val="00D5247B"/>
    <w:rsid w:val="00D52A40"/>
    <w:rsid w:val="00D52FE0"/>
    <w:rsid w:val="00D54313"/>
    <w:rsid w:val="00D549E3"/>
    <w:rsid w:val="00D55569"/>
    <w:rsid w:val="00D5672D"/>
    <w:rsid w:val="00D57BDB"/>
    <w:rsid w:val="00D60555"/>
    <w:rsid w:val="00D60FB5"/>
    <w:rsid w:val="00D612BE"/>
    <w:rsid w:val="00D61D9D"/>
    <w:rsid w:val="00D61E20"/>
    <w:rsid w:val="00D65455"/>
    <w:rsid w:val="00D670DC"/>
    <w:rsid w:val="00D67337"/>
    <w:rsid w:val="00D6746D"/>
    <w:rsid w:val="00D67892"/>
    <w:rsid w:val="00D67EA7"/>
    <w:rsid w:val="00D71928"/>
    <w:rsid w:val="00D71A5D"/>
    <w:rsid w:val="00D7345E"/>
    <w:rsid w:val="00D73BE2"/>
    <w:rsid w:val="00D74BD7"/>
    <w:rsid w:val="00D74DEB"/>
    <w:rsid w:val="00D75449"/>
    <w:rsid w:val="00D75599"/>
    <w:rsid w:val="00D75BA9"/>
    <w:rsid w:val="00D75E0B"/>
    <w:rsid w:val="00D75FFB"/>
    <w:rsid w:val="00D76FB6"/>
    <w:rsid w:val="00D776C1"/>
    <w:rsid w:val="00D77922"/>
    <w:rsid w:val="00D77970"/>
    <w:rsid w:val="00D80A86"/>
    <w:rsid w:val="00D828FE"/>
    <w:rsid w:val="00D82CEB"/>
    <w:rsid w:val="00D831D9"/>
    <w:rsid w:val="00D8390C"/>
    <w:rsid w:val="00D84D06"/>
    <w:rsid w:val="00D851EF"/>
    <w:rsid w:val="00D857B9"/>
    <w:rsid w:val="00D85A79"/>
    <w:rsid w:val="00D86682"/>
    <w:rsid w:val="00D867F5"/>
    <w:rsid w:val="00D87194"/>
    <w:rsid w:val="00D9132D"/>
    <w:rsid w:val="00D91853"/>
    <w:rsid w:val="00D91972"/>
    <w:rsid w:val="00D91E45"/>
    <w:rsid w:val="00D935C3"/>
    <w:rsid w:val="00D94D60"/>
    <w:rsid w:val="00D94E72"/>
    <w:rsid w:val="00D95046"/>
    <w:rsid w:val="00D96C20"/>
    <w:rsid w:val="00DA147F"/>
    <w:rsid w:val="00DA1A45"/>
    <w:rsid w:val="00DA1BBD"/>
    <w:rsid w:val="00DA318E"/>
    <w:rsid w:val="00DA52FD"/>
    <w:rsid w:val="00DA6879"/>
    <w:rsid w:val="00DA71BD"/>
    <w:rsid w:val="00DB031E"/>
    <w:rsid w:val="00DB2269"/>
    <w:rsid w:val="00DB283A"/>
    <w:rsid w:val="00DB2EF7"/>
    <w:rsid w:val="00DB579A"/>
    <w:rsid w:val="00DB5EE5"/>
    <w:rsid w:val="00DC079A"/>
    <w:rsid w:val="00DC07F7"/>
    <w:rsid w:val="00DC2F4A"/>
    <w:rsid w:val="00DC3073"/>
    <w:rsid w:val="00DC399D"/>
    <w:rsid w:val="00DC4220"/>
    <w:rsid w:val="00DC4777"/>
    <w:rsid w:val="00DC5C1B"/>
    <w:rsid w:val="00DC6384"/>
    <w:rsid w:val="00DC761D"/>
    <w:rsid w:val="00DD0689"/>
    <w:rsid w:val="00DD0A50"/>
    <w:rsid w:val="00DD0C98"/>
    <w:rsid w:val="00DD2384"/>
    <w:rsid w:val="00DD392E"/>
    <w:rsid w:val="00DD45AB"/>
    <w:rsid w:val="00DD602C"/>
    <w:rsid w:val="00DD763B"/>
    <w:rsid w:val="00DE0556"/>
    <w:rsid w:val="00DE1F31"/>
    <w:rsid w:val="00DE254C"/>
    <w:rsid w:val="00DE44FD"/>
    <w:rsid w:val="00DE5C4E"/>
    <w:rsid w:val="00DE6CA1"/>
    <w:rsid w:val="00DE7222"/>
    <w:rsid w:val="00DE7A8B"/>
    <w:rsid w:val="00DF167C"/>
    <w:rsid w:val="00DF1A0C"/>
    <w:rsid w:val="00DF224E"/>
    <w:rsid w:val="00DF2936"/>
    <w:rsid w:val="00DF6C09"/>
    <w:rsid w:val="00DF739B"/>
    <w:rsid w:val="00E04230"/>
    <w:rsid w:val="00E05B75"/>
    <w:rsid w:val="00E05FE5"/>
    <w:rsid w:val="00E07488"/>
    <w:rsid w:val="00E0763C"/>
    <w:rsid w:val="00E10D13"/>
    <w:rsid w:val="00E11F58"/>
    <w:rsid w:val="00E1282C"/>
    <w:rsid w:val="00E12BCD"/>
    <w:rsid w:val="00E12BF3"/>
    <w:rsid w:val="00E133E4"/>
    <w:rsid w:val="00E140A3"/>
    <w:rsid w:val="00E160AE"/>
    <w:rsid w:val="00E205D9"/>
    <w:rsid w:val="00E2060D"/>
    <w:rsid w:val="00E228DB"/>
    <w:rsid w:val="00E24168"/>
    <w:rsid w:val="00E25971"/>
    <w:rsid w:val="00E25990"/>
    <w:rsid w:val="00E2606F"/>
    <w:rsid w:val="00E26500"/>
    <w:rsid w:val="00E30E5C"/>
    <w:rsid w:val="00E31B7C"/>
    <w:rsid w:val="00E321DF"/>
    <w:rsid w:val="00E32D30"/>
    <w:rsid w:val="00E334F2"/>
    <w:rsid w:val="00E35068"/>
    <w:rsid w:val="00E359C4"/>
    <w:rsid w:val="00E36EFF"/>
    <w:rsid w:val="00E42598"/>
    <w:rsid w:val="00E46E2B"/>
    <w:rsid w:val="00E47625"/>
    <w:rsid w:val="00E50928"/>
    <w:rsid w:val="00E50BA6"/>
    <w:rsid w:val="00E50EBA"/>
    <w:rsid w:val="00E51B86"/>
    <w:rsid w:val="00E52309"/>
    <w:rsid w:val="00E53769"/>
    <w:rsid w:val="00E53817"/>
    <w:rsid w:val="00E55A2D"/>
    <w:rsid w:val="00E57581"/>
    <w:rsid w:val="00E57B95"/>
    <w:rsid w:val="00E6110F"/>
    <w:rsid w:val="00E619A5"/>
    <w:rsid w:val="00E61BC4"/>
    <w:rsid w:val="00E634A9"/>
    <w:rsid w:val="00E642CB"/>
    <w:rsid w:val="00E65270"/>
    <w:rsid w:val="00E67848"/>
    <w:rsid w:val="00E67EC6"/>
    <w:rsid w:val="00E715BF"/>
    <w:rsid w:val="00E724DA"/>
    <w:rsid w:val="00E73DC9"/>
    <w:rsid w:val="00E74C68"/>
    <w:rsid w:val="00E75DF9"/>
    <w:rsid w:val="00E76EAF"/>
    <w:rsid w:val="00E775B1"/>
    <w:rsid w:val="00E8042C"/>
    <w:rsid w:val="00E81F53"/>
    <w:rsid w:val="00E825FB"/>
    <w:rsid w:val="00E830C4"/>
    <w:rsid w:val="00E832C6"/>
    <w:rsid w:val="00E83B9D"/>
    <w:rsid w:val="00E84415"/>
    <w:rsid w:val="00E846EE"/>
    <w:rsid w:val="00E85A1E"/>
    <w:rsid w:val="00E85AA3"/>
    <w:rsid w:val="00E860BD"/>
    <w:rsid w:val="00E862C0"/>
    <w:rsid w:val="00E86E9C"/>
    <w:rsid w:val="00E87538"/>
    <w:rsid w:val="00E9122A"/>
    <w:rsid w:val="00E93E9E"/>
    <w:rsid w:val="00E94A46"/>
    <w:rsid w:val="00E9766C"/>
    <w:rsid w:val="00E97722"/>
    <w:rsid w:val="00E97A18"/>
    <w:rsid w:val="00EA19E5"/>
    <w:rsid w:val="00EA406A"/>
    <w:rsid w:val="00EA4C65"/>
    <w:rsid w:val="00EA67FF"/>
    <w:rsid w:val="00EA768B"/>
    <w:rsid w:val="00EA77F5"/>
    <w:rsid w:val="00EA79E1"/>
    <w:rsid w:val="00EB0098"/>
    <w:rsid w:val="00EB00AA"/>
    <w:rsid w:val="00EB0671"/>
    <w:rsid w:val="00EB0BCC"/>
    <w:rsid w:val="00EB1D08"/>
    <w:rsid w:val="00EB1DD5"/>
    <w:rsid w:val="00EB1E0E"/>
    <w:rsid w:val="00EB220A"/>
    <w:rsid w:val="00EB3369"/>
    <w:rsid w:val="00EB4C74"/>
    <w:rsid w:val="00EB69E4"/>
    <w:rsid w:val="00EB6CA6"/>
    <w:rsid w:val="00EB736D"/>
    <w:rsid w:val="00EB78DB"/>
    <w:rsid w:val="00EB7C82"/>
    <w:rsid w:val="00EC03E6"/>
    <w:rsid w:val="00EC0ECD"/>
    <w:rsid w:val="00EC127E"/>
    <w:rsid w:val="00EC154A"/>
    <w:rsid w:val="00EC2004"/>
    <w:rsid w:val="00EC371C"/>
    <w:rsid w:val="00EC3F7E"/>
    <w:rsid w:val="00EC46D3"/>
    <w:rsid w:val="00EC67B0"/>
    <w:rsid w:val="00EC7573"/>
    <w:rsid w:val="00EC7CED"/>
    <w:rsid w:val="00ED04ED"/>
    <w:rsid w:val="00ED36C6"/>
    <w:rsid w:val="00ED4682"/>
    <w:rsid w:val="00ED4E1A"/>
    <w:rsid w:val="00ED5029"/>
    <w:rsid w:val="00ED5F64"/>
    <w:rsid w:val="00ED77BD"/>
    <w:rsid w:val="00EE0DD5"/>
    <w:rsid w:val="00EE1080"/>
    <w:rsid w:val="00EE15C6"/>
    <w:rsid w:val="00EE285B"/>
    <w:rsid w:val="00EE3785"/>
    <w:rsid w:val="00EE765C"/>
    <w:rsid w:val="00EF0945"/>
    <w:rsid w:val="00EF286C"/>
    <w:rsid w:val="00EF3590"/>
    <w:rsid w:val="00EF3A6B"/>
    <w:rsid w:val="00EF4742"/>
    <w:rsid w:val="00EF4C94"/>
    <w:rsid w:val="00EF531C"/>
    <w:rsid w:val="00EF5932"/>
    <w:rsid w:val="00EF63D4"/>
    <w:rsid w:val="00F01484"/>
    <w:rsid w:val="00F018CF"/>
    <w:rsid w:val="00F030F0"/>
    <w:rsid w:val="00F03D2A"/>
    <w:rsid w:val="00F06D76"/>
    <w:rsid w:val="00F0749E"/>
    <w:rsid w:val="00F07FDD"/>
    <w:rsid w:val="00F10D65"/>
    <w:rsid w:val="00F12D46"/>
    <w:rsid w:val="00F12DA0"/>
    <w:rsid w:val="00F13B2C"/>
    <w:rsid w:val="00F145B3"/>
    <w:rsid w:val="00F146E0"/>
    <w:rsid w:val="00F16670"/>
    <w:rsid w:val="00F1749C"/>
    <w:rsid w:val="00F215DC"/>
    <w:rsid w:val="00F23348"/>
    <w:rsid w:val="00F2409D"/>
    <w:rsid w:val="00F250ED"/>
    <w:rsid w:val="00F25B79"/>
    <w:rsid w:val="00F27CF2"/>
    <w:rsid w:val="00F30007"/>
    <w:rsid w:val="00F335CA"/>
    <w:rsid w:val="00F3373E"/>
    <w:rsid w:val="00F33AD4"/>
    <w:rsid w:val="00F34905"/>
    <w:rsid w:val="00F3577E"/>
    <w:rsid w:val="00F36805"/>
    <w:rsid w:val="00F36F2D"/>
    <w:rsid w:val="00F379EA"/>
    <w:rsid w:val="00F37ECA"/>
    <w:rsid w:val="00F402C7"/>
    <w:rsid w:val="00F406FC"/>
    <w:rsid w:val="00F41EAD"/>
    <w:rsid w:val="00F45268"/>
    <w:rsid w:val="00F51033"/>
    <w:rsid w:val="00F53424"/>
    <w:rsid w:val="00F53B2F"/>
    <w:rsid w:val="00F56DDC"/>
    <w:rsid w:val="00F6043C"/>
    <w:rsid w:val="00F618D4"/>
    <w:rsid w:val="00F61EE8"/>
    <w:rsid w:val="00F631EA"/>
    <w:rsid w:val="00F63425"/>
    <w:rsid w:val="00F63C94"/>
    <w:rsid w:val="00F64DAA"/>
    <w:rsid w:val="00F658E4"/>
    <w:rsid w:val="00F65ACF"/>
    <w:rsid w:val="00F65C8D"/>
    <w:rsid w:val="00F712F8"/>
    <w:rsid w:val="00F7142E"/>
    <w:rsid w:val="00F71D6C"/>
    <w:rsid w:val="00F72359"/>
    <w:rsid w:val="00F74D67"/>
    <w:rsid w:val="00F75457"/>
    <w:rsid w:val="00F7559D"/>
    <w:rsid w:val="00F7658D"/>
    <w:rsid w:val="00F76A28"/>
    <w:rsid w:val="00F76FC0"/>
    <w:rsid w:val="00F7720A"/>
    <w:rsid w:val="00F77EC2"/>
    <w:rsid w:val="00F809CA"/>
    <w:rsid w:val="00F8160B"/>
    <w:rsid w:val="00F82F3B"/>
    <w:rsid w:val="00F833B9"/>
    <w:rsid w:val="00F84111"/>
    <w:rsid w:val="00F8489C"/>
    <w:rsid w:val="00F8662E"/>
    <w:rsid w:val="00F86C8B"/>
    <w:rsid w:val="00F8745C"/>
    <w:rsid w:val="00F87C89"/>
    <w:rsid w:val="00F90C62"/>
    <w:rsid w:val="00F954C0"/>
    <w:rsid w:val="00F97866"/>
    <w:rsid w:val="00FA3F99"/>
    <w:rsid w:val="00FA45FE"/>
    <w:rsid w:val="00FA4C66"/>
    <w:rsid w:val="00FA5DD2"/>
    <w:rsid w:val="00FA6569"/>
    <w:rsid w:val="00FA7C56"/>
    <w:rsid w:val="00FA7E84"/>
    <w:rsid w:val="00FA7F97"/>
    <w:rsid w:val="00FB096D"/>
    <w:rsid w:val="00FB1FE3"/>
    <w:rsid w:val="00FB4B0B"/>
    <w:rsid w:val="00FB52EE"/>
    <w:rsid w:val="00FC1063"/>
    <w:rsid w:val="00FC1CAF"/>
    <w:rsid w:val="00FC2614"/>
    <w:rsid w:val="00FC35A0"/>
    <w:rsid w:val="00FC4863"/>
    <w:rsid w:val="00FC4AB8"/>
    <w:rsid w:val="00FC5289"/>
    <w:rsid w:val="00FC775E"/>
    <w:rsid w:val="00FC7807"/>
    <w:rsid w:val="00FD1046"/>
    <w:rsid w:val="00FD2320"/>
    <w:rsid w:val="00FD2ABA"/>
    <w:rsid w:val="00FD2F75"/>
    <w:rsid w:val="00FD3906"/>
    <w:rsid w:val="00FD3EBC"/>
    <w:rsid w:val="00FD3F2A"/>
    <w:rsid w:val="00FD42ED"/>
    <w:rsid w:val="00FD55CB"/>
    <w:rsid w:val="00FD7B2F"/>
    <w:rsid w:val="00FE034E"/>
    <w:rsid w:val="00FE040F"/>
    <w:rsid w:val="00FE0487"/>
    <w:rsid w:val="00FE22DD"/>
    <w:rsid w:val="00FE3903"/>
    <w:rsid w:val="00FE3EFF"/>
    <w:rsid w:val="00FE53B2"/>
    <w:rsid w:val="00FE7BC5"/>
    <w:rsid w:val="00FF1FC0"/>
    <w:rsid w:val="00FF213A"/>
    <w:rsid w:val="00FF2DED"/>
    <w:rsid w:val="00FF39A4"/>
    <w:rsid w:val="00FF57FC"/>
    <w:rsid w:val="00FF66CC"/>
    <w:rsid w:val="00FF6861"/>
    <w:rsid w:val="0D01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fill rotate="t" angle="90" type="gradient"/>
      <v:stroke on="f"/>
    </o:shapedefaults>
    <o:shapelayout v:ext="edit">
      <o:idmap v:ext="edit" data="1"/>
    </o:shapelayout>
  </w:shapeDefaults>
  <w:decimalSymbol w:val="."/>
  <w:listSeparator w:val=","/>
  <w14:docId w14:val="4B0CD7AA"/>
  <w15:docId w15:val="{1EA4A176-BE5D-4528-BFDE-11397018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toc 1" w:uiPriority="39" w:qFormat="1"/>
    <w:lsdException w:name="toc 2" w:uiPriority="39" w:qFormat="1"/>
    <w:lsdException w:name="toc 3" w:uiPriority="39"/>
    <w:lsdException w:name="toc 5" w:qFormat="1"/>
    <w:lsdException w:name="toc 6" w:qFormat="1"/>
    <w:lsdException w:name="toc 8" w:qFormat="1"/>
    <w:lsdException w:name="toc 9" w:qFormat="1"/>
    <w:lsdException w:name="annotation text" w:semiHidden="1" w:qFormat="1"/>
    <w:lsdException w:name="header" w:qFormat="1"/>
    <w:lsdException w:name="caption" w:semiHidden="1" w:unhideWhenUsed="1" w:qFormat="1"/>
    <w:lsdException w:name="table of figures" w:uiPriority="99" w:qFormat="1"/>
    <w:lsdException w:name="annotation reference" w:semiHidden="1"/>
    <w:lsdException w:name="Title" w:qFormat="1"/>
    <w:lsdException w:name="Default Paragraph Font" w:semiHidden="1" w:uiPriority="1" w:unhideWhenUsed="1" w:qFormat="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jc w:val="both"/>
    </w:pPr>
    <w:rPr>
      <w:rFonts w:ascii="Arial" w:eastAsia="楷体_GB2312" w:hAnsi="Arial"/>
      <w:kern w:val="2"/>
      <w:sz w:val="21"/>
      <w:szCs w:val="24"/>
    </w:rPr>
  </w:style>
  <w:style w:type="paragraph" w:styleId="1">
    <w:name w:val="heading 1"/>
    <w:basedOn w:val="a2"/>
    <w:next w:val="a2"/>
    <w:link w:val="10"/>
    <w:qFormat/>
    <w:pPr>
      <w:keepNext/>
      <w:keepLines/>
      <w:spacing w:before="340" w:after="330" w:line="578" w:lineRule="auto"/>
      <w:outlineLvl w:val="0"/>
    </w:pPr>
    <w:rPr>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pPr>
      <w:ind w:leftChars="1200" w:left="2520"/>
    </w:pPr>
  </w:style>
  <w:style w:type="paragraph" w:styleId="a6">
    <w:name w:val="annotation text"/>
    <w:basedOn w:val="a2"/>
    <w:semiHidden/>
    <w:qFormat/>
    <w:pPr>
      <w:jc w:val="left"/>
    </w:pPr>
  </w:style>
  <w:style w:type="paragraph" w:styleId="a7">
    <w:name w:val="Body Text"/>
    <w:basedOn w:val="a2"/>
    <w:link w:val="a8"/>
    <w:pPr>
      <w:spacing w:after="120"/>
    </w:pPr>
  </w:style>
  <w:style w:type="paragraph" w:styleId="TOC5">
    <w:name w:val="toc 5"/>
    <w:basedOn w:val="a2"/>
    <w:next w:val="a2"/>
    <w:qFormat/>
    <w:pPr>
      <w:ind w:leftChars="800" w:left="1680"/>
    </w:pPr>
  </w:style>
  <w:style w:type="paragraph" w:styleId="TOC3">
    <w:name w:val="toc 3"/>
    <w:basedOn w:val="a2"/>
    <w:next w:val="a2"/>
    <w:uiPriority w:val="39"/>
    <w:pPr>
      <w:ind w:leftChars="400" w:left="840"/>
    </w:pPr>
  </w:style>
  <w:style w:type="paragraph" w:styleId="TOC8">
    <w:name w:val="toc 8"/>
    <w:basedOn w:val="a2"/>
    <w:next w:val="a2"/>
    <w:qFormat/>
    <w:pPr>
      <w:ind w:leftChars="1400" w:left="2940"/>
    </w:pPr>
  </w:style>
  <w:style w:type="paragraph" w:styleId="a9">
    <w:name w:val="Balloon Text"/>
    <w:basedOn w:val="a2"/>
    <w:semiHidden/>
    <w:rPr>
      <w:sz w:val="18"/>
      <w:szCs w:val="18"/>
    </w:rPr>
  </w:style>
  <w:style w:type="paragraph" w:styleId="aa">
    <w:name w:val="header"/>
    <w:basedOn w:val="a2"/>
    <w:link w:val="ab"/>
    <w:qFormat/>
    <w:pPr>
      <w:tabs>
        <w:tab w:val="center" w:pos="4320"/>
        <w:tab w:val="right" w:pos="8640"/>
      </w:tabs>
    </w:pPr>
  </w:style>
  <w:style w:type="paragraph" w:styleId="TOC1">
    <w:name w:val="toc 1"/>
    <w:basedOn w:val="a2"/>
    <w:next w:val="a2"/>
    <w:uiPriority w:val="39"/>
    <w:qFormat/>
    <w:pPr>
      <w:tabs>
        <w:tab w:val="right" w:leader="dot" w:pos="8644"/>
        <w:tab w:val="right" w:leader="dot" w:pos="10649"/>
      </w:tabs>
      <w:kinsoku w:val="0"/>
      <w:spacing w:line="400" w:lineRule="exact"/>
      <w:ind w:leftChars="500" w:left="1050"/>
      <w:jc w:val="right"/>
    </w:pPr>
    <w:rPr>
      <w:rFonts w:cs="Arial"/>
      <w:b/>
      <w:bCs/>
      <w:color w:val="000000"/>
    </w:rPr>
  </w:style>
  <w:style w:type="paragraph" w:styleId="TOC4">
    <w:name w:val="toc 4"/>
    <w:basedOn w:val="a2"/>
    <w:next w:val="a2"/>
    <w:pPr>
      <w:ind w:leftChars="600" w:left="1260"/>
    </w:pPr>
  </w:style>
  <w:style w:type="paragraph" w:styleId="TOC6">
    <w:name w:val="toc 6"/>
    <w:basedOn w:val="a2"/>
    <w:next w:val="a2"/>
    <w:qFormat/>
    <w:pPr>
      <w:ind w:leftChars="1000" w:left="2100"/>
    </w:pPr>
  </w:style>
  <w:style w:type="paragraph" w:styleId="ac">
    <w:name w:val="table of figures"/>
    <w:basedOn w:val="TOC1"/>
    <w:next w:val="a2"/>
    <w:link w:val="ad"/>
    <w:uiPriority w:val="99"/>
    <w:qFormat/>
  </w:style>
  <w:style w:type="paragraph" w:styleId="TOC2">
    <w:name w:val="toc 2"/>
    <w:basedOn w:val="a2"/>
    <w:next w:val="a2"/>
    <w:uiPriority w:val="39"/>
    <w:qFormat/>
    <w:pPr>
      <w:tabs>
        <w:tab w:val="right" w:leader="dot" w:pos="8931"/>
        <w:tab w:val="right" w:leader="dot" w:pos="10649"/>
      </w:tabs>
      <w:ind w:leftChars="850" w:left="1785"/>
      <w:jc w:val="right"/>
    </w:pPr>
  </w:style>
  <w:style w:type="paragraph" w:styleId="TOC9">
    <w:name w:val="toc 9"/>
    <w:basedOn w:val="a2"/>
    <w:next w:val="a2"/>
    <w:qFormat/>
    <w:pPr>
      <w:ind w:leftChars="1600" w:left="3360"/>
    </w:pPr>
  </w:style>
  <w:style w:type="paragraph" w:styleId="11">
    <w:name w:val="index 1"/>
    <w:basedOn w:val="a2"/>
    <w:next w:val="a2"/>
    <w:qFormat/>
    <w:pPr>
      <w:ind w:leftChars="1050" w:left="1050"/>
    </w:pPr>
  </w:style>
  <w:style w:type="paragraph" w:styleId="ae">
    <w:name w:val="annotation subject"/>
    <w:basedOn w:val="a6"/>
    <w:next w:val="a6"/>
    <w:semiHidden/>
    <w:rPr>
      <w:b/>
      <w:bCs/>
    </w:rPr>
  </w:style>
  <w:style w:type="table" w:styleId="af">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Pr>
      <w:b/>
      <w:bCs/>
    </w:rPr>
  </w:style>
  <w:style w:type="character" w:styleId="af1">
    <w:name w:val="Hyperlink"/>
    <w:uiPriority w:val="99"/>
    <w:unhideWhenUsed/>
    <w:rPr>
      <w:color w:val="0000FF"/>
      <w:u w:val="single"/>
    </w:rPr>
  </w:style>
  <w:style w:type="character" w:styleId="af2">
    <w:name w:val="annotation reference"/>
    <w:semiHidden/>
    <w:rPr>
      <w:sz w:val="21"/>
      <w:szCs w:val="21"/>
    </w:rPr>
  </w:style>
  <w:style w:type="character" w:customStyle="1" w:styleId="10">
    <w:name w:val="标题 1 字符"/>
    <w:link w:val="1"/>
    <w:qFormat/>
    <w:rPr>
      <w:b/>
      <w:bCs/>
      <w:kern w:val="44"/>
      <w:sz w:val="44"/>
      <w:szCs w:val="44"/>
    </w:rPr>
  </w:style>
  <w:style w:type="paragraph" w:customStyle="1" w:styleId="af3">
    <w:name w:val="附录表格名称"/>
    <w:basedOn w:val="a2"/>
    <w:rPr>
      <w:rFonts w:ascii="楷体_GB2312"/>
      <w:b/>
      <w:i/>
    </w:rPr>
  </w:style>
  <w:style w:type="paragraph" w:customStyle="1" w:styleId="af4">
    <w:name w:val="历史推荐列名"/>
    <w:basedOn w:val="a2"/>
    <w:qFormat/>
    <w:pPr>
      <w:framePr w:hSpace="180" w:wrap="around" w:vAnchor="text" w:hAnchor="text" w:y="1"/>
      <w:suppressOverlap/>
      <w:jc w:val="center"/>
    </w:pPr>
    <w:rPr>
      <w:rFonts w:ascii="楷体_GB2312" w:hAnsi="楷体"/>
      <w:b/>
    </w:rPr>
  </w:style>
  <w:style w:type="paragraph" w:customStyle="1" w:styleId="af5">
    <w:name w:val="齐鲁评级及目标价"/>
    <w:basedOn w:val="a2"/>
    <w:qFormat/>
    <w:pPr>
      <w:jc w:val="center"/>
    </w:pPr>
    <w:rPr>
      <w:rFonts w:cs="Arial"/>
      <w:b/>
      <w:szCs w:val="21"/>
    </w:rPr>
  </w:style>
  <w:style w:type="character" w:customStyle="1" w:styleId="ad">
    <w:name w:val="图表目录 字符"/>
    <w:link w:val="ac"/>
    <w:uiPriority w:val="99"/>
    <w:qFormat/>
    <w:rPr>
      <w:rFonts w:ascii="Arial" w:eastAsia="楷体_GB2312" w:hAnsi="Arial" w:cs="Arial"/>
      <w:bCs/>
      <w:color w:val="000000"/>
      <w:kern w:val="2"/>
      <w:sz w:val="21"/>
      <w:szCs w:val="24"/>
    </w:rPr>
  </w:style>
  <w:style w:type="paragraph" w:customStyle="1" w:styleId="af6">
    <w:name w:val="齐鲁投资要点二"/>
    <w:basedOn w:val="a2"/>
    <w:qFormat/>
    <w:pPr>
      <w:tabs>
        <w:tab w:val="left" w:pos="840"/>
      </w:tabs>
      <w:spacing w:beforeLines="50" w:before="156" w:afterLines="50" w:after="156" w:line="240" w:lineRule="exact"/>
      <w:ind w:left="840" w:hanging="420"/>
    </w:pPr>
    <w:rPr>
      <w:rFonts w:cs="宋体"/>
      <w:szCs w:val="20"/>
    </w:rPr>
  </w:style>
  <w:style w:type="paragraph" w:customStyle="1" w:styleId="12">
    <w:name w:val="齐鲁模板标题1"/>
    <w:basedOn w:val="a2"/>
    <w:link w:val="1Char"/>
    <w:qFormat/>
    <w:pPr>
      <w:tabs>
        <w:tab w:val="right" w:leader="dot" w:pos="12424"/>
      </w:tabs>
      <w:spacing w:before="100" w:beforeAutospacing="1" w:after="100" w:afterAutospacing="1" w:line="240" w:lineRule="exact"/>
      <w:ind w:leftChars="1250" w:left="2625"/>
      <w:jc w:val="left"/>
      <w:outlineLvl w:val="0"/>
    </w:pPr>
    <w:rPr>
      <w:b/>
      <w:bCs/>
      <w:sz w:val="28"/>
      <w:szCs w:val="32"/>
    </w:rPr>
  </w:style>
  <w:style w:type="character" w:customStyle="1" w:styleId="1Char">
    <w:name w:val="齐鲁模板标题1 Char"/>
    <w:link w:val="12"/>
    <w:qFormat/>
    <w:rPr>
      <w:rFonts w:ascii="Arial" w:eastAsia="楷体_GB2312" w:hAnsi="Arial" w:cs="Times New Roman"/>
      <w:b/>
      <w:bCs/>
      <w:kern w:val="2"/>
      <w:sz w:val="28"/>
      <w:szCs w:val="32"/>
    </w:rPr>
  </w:style>
  <w:style w:type="paragraph" w:customStyle="1" w:styleId="TemplateDir">
    <w:name w:val="TemplateDir"/>
    <w:basedOn w:val="a7"/>
    <w:next w:val="TOC1"/>
    <w:qFormat/>
    <w:pPr>
      <w:tabs>
        <w:tab w:val="right" w:pos="12424"/>
      </w:tabs>
      <w:spacing w:line="480" w:lineRule="exact"/>
      <w:ind w:leftChars="1050" w:left="2205"/>
      <w:jc w:val="left"/>
    </w:pPr>
    <w:rPr>
      <w:rFonts w:cs="Arial"/>
      <w:b/>
      <w:sz w:val="28"/>
      <w:szCs w:val="21"/>
    </w:rPr>
  </w:style>
  <w:style w:type="paragraph" w:customStyle="1" w:styleId="af7">
    <w:name w:val="齐鲁首页表头名称"/>
    <w:basedOn w:val="a2"/>
    <w:qFormat/>
    <w:rPr>
      <w:rFonts w:ascii="楷体_GB2312"/>
      <w:b/>
      <w:sz w:val="24"/>
    </w:rPr>
  </w:style>
  <w:style w:type="paragraph" w:customStyle="1" w:styleId="af8">
    <w:name w:val="齐鲁业绩预测年份"/>
    <w:basedOn w:val="a2"/>
    <w:qFormat/>
    <w:pPr>
      <w:jc w:val="right"/>
    </w:pPr>
    <w:rPr>
      <w:b/>
    </w:rPr>
  </w:style>
  <w:style w:type="paragraph" w:customStyle="1" w:styleId="af9">
    <w:name w:val="历史推荐评级名称"/>
    <w:basedOn w:val="a2"/>
    <w:qFormat/>
    <w:pPr>
      <w:framePr w:hSpace="180" w:wrap="around" w:vAnchor="text" w:hAnchor="text" w:y="1"/>
      <w:suppressOverlap/>
      <w:jc w:val="center"/>
    </w:pPr>
    <w:rPr>
      <w:rFonts w:ascii="楷体_GB2312" w:hAnsi="楷体"/>
      <w:color w:val="FF0000"/>
    </w:rPr>
  </w:style>
  <w:style w:type="paragraph" w:customStyle="1" w:styleId="a1">
    <w:name w:val="齐鲁投资要点一"/>
    <w:basedOn w:val="a2"/>
    <w:qFormat/>
    <w:pPr>
      <w:numPr>
        <w:numId w:val="1"/>
      </w:numPr>
      <w:spacing w:beforeLines="50" w:before="156" w:afterLines="50" w:after="156" w:line="200" w:lineRule="atLeast"/>
    </w:pPr>
    <w:rPr>
      <w:rFonts w:cs="Arial"/>
      <w:b/>
      <w:color w:val="000000"/>
      <w:szCs w:val="21"/>
    </w:rPr>
  </w:style>
  <w:style w:type="paragraph" w:customStyle="1" w:styleId="a0">
    <w:name w:val="齐鲁二级标题一"/>
    <w:basedOn w:val="a7"/>
    <w:qFormat/>
    <w:pPr>
      <w:widowControl/>
      <w:numPr>
        <w:ilvl w:val="4"/>
        <w:numId w:val="2"/>
      </w:numPr>
      <w:tabs>
        <w:tab w:val="left" w:pos="3799"/>
      </w:tabs>
      <w:spacing w:before="100" w:beforeAutospacing="1" w:after="100" w:afterAutospacing="1" w:line="360" w:lineRule="auto"/>
      <w:ind w:leftChars="1300" w:left="1300" w:firstLine="0"/>
    </w:pPr>
    <w:rPr>
      <w:rFonts w:cs="Arial"/>
    </w:rPr>
  </w:style>
  <w:style w:type="paragraph" w:customStyle="1" w:styleId="afa">
    <w:name w:val="评级及目标价"/>
    <w:basedOn w:val="a2"/>
    <w:qFormat/>
    <w:pPr>
      <w:jc w:val="center"/>
    </w:pPr>
    <w:rPr>
      <w:b/>
      <w:bCs/>
      <w:szCs w:val="21"/>
    </w:rPr>
  </w:style>
  <w:style w:type="paragraph" w:customStyle="1" w:styleId="a">
    <w:name w:val="二级标题三"/>
    <w:basedOn w:val="a7"/>
    <w:qFormat/>
    <w:pPr>
      <w:widowControl/>
      <w:numPr>
        <w:numId w:val="3"/>
      </w:numPr>
      <w:spacing w:line="240" w:lineRule="exact"/>
    </w:pPr>
  </w:style>
  <w:style w:type="paragraph" w:customStyle="1" w:styleId="afb">
    <w:name w:val="齐鲁模板目录标题"/>
    <w:basedOn w:val="a7"/>
    <w:next w:val="TOC1"/>
    <w:qFormat/>
    <w:pPr>
      <w:widowControl/>
      <w:tabs>
        <w:tab w:val="right" w:leader="dot" w:pos="10649"/>
      </w:tabs>
      <w:spacing w:line="480" w:lineRule="exact"/>
      <w:ind w:left="3402"/>
    </w:pPr>
    <w:rPr>
      <w:rFonts w:cs="Arial"/>
      <w:b/>
      <w:color w:val="000000"/>
      <w:kern w:val="0"/>
      <w:sz w:val="28"/>
      <w:szCs w:val="20"/>
    </w:rPr>
  </w:style>
  <w:style w:type="paragraph" w:customStyle="1" w:styleId="FooterTitle">
    <w:name w:val="FooterTitle"/>
    <w:basedOn w:val="a7"/>
    <w:qFormat/>
    <w:pPr>
      <w:framePr w:hSpace="180" w:wrap="around" w:vAnchor="text" w:hAnchor="text" w:y="1"/>
      <w:tabs>
        <w:tab w:val="right" w:pos="11743"/>
      </w:tabs>
      <w:spacing w:before="40" w:after="160"/>
      <w:suppressOverlap/>
    </w:pPr>
    <w:rPr>
      <w:color w:val="C00000"/>
      <w:sz w:val="15"/>
    </w:rPr>
  </w:style>
  <w:style w:type="paragraph" w:customStyle="1" w:styleId="TableLargeTitle">
    <w:name w:val="TableLargeTitle"/>
    <w:basedOn w:val="ac"/>
    <w:qFormat/>
    <w:pPr>
      <w:keepNext/>
      <w:framePr w:hSpace="180" w:wrap="around" w:vAnchor="text" w:hAnchor="text" w:y="1"/>
      <w:widowControl/>
      <w:suppressAutoHyphens/>
      <w:spacing w:after="40" w:line="240" w:lineRule="exact"/>
      <w:ind w:leftChars="0" w:left="0"/>
      <w:suppressOverlap/>
      <w:jc w:val="left"/>
    </w:pPr>
    <w:rPr>
      <w:i/>
      <w:color w:val="C00000"/>
    </w:rPr>
  </w:style>
  <w:style w:type="paragraph" w:customStyle="1" w:styleId="afc">
    <w:name w:val="齐鲁页脚"/>
    <w:basedOn w:val="a2"/>
    <w:qFormat/>
    <w:pPr>
      <w:ind w:right="-56"/>
      <w:jc w:val="right"/>
    </w:pPr>
    <w:rPr>
      <w:rFonts w:ascii="楷体_GB2312"/>
      <w:b/>
    </w:rPr>
  </w:style>
  <w:style w:type="paragraph" w:customStyle="1" w:styleId="afd">
    <w:name w:val="齐鲁页眉"/>
    <w:basedOn w:val="a2"/>
    <w:qFormat/>
    <w:pPr>
      <w:ind w:right="105"/>
      <w:jc w:val="right"/>
    </w:pPr>
    <w:rPr>
      <w:rFonts w:ascii="楷体_GB2312"/>
      <w:b/>
    </w:rPr>
  </w:style>
  <w:style w:type="paragraph" w:customStyle="1" w:styleId="afe">
    <w:name w:val="模板目录标题"/>
    <w:basedOn w:val="a7"/>
    <w:next w:val="TOC1"/>
    <w:qFormat/>
    <w:pPr>
      <w:widowControl/>
      <w:tabs>
        <w:tab w:val="right" w:leader="dot" w:pos="10649"/>
      </w:tabs>
      <w:spacing w:line="480" w:lineRule="exact"/>
      <w:ind w:left="3402"/>
    </w:pPr>
    <w:rPr>
      <w:rFonts w:cs="Arial"/>
      <w:b/>
      <w:color w:val="000000"/>
      <w:kern w:val="0"/>
      <w:sz w:val="28"/>
      <w:szCs w:val="20"/>
    </w:rPr>
  </w:style>
  <w:style w:type="paragraph" w:customStyle="1" w:styleId="2">
    <w:name w:val="齐鲁模板标题2"/>
    <w:basedOn w:val="12"/>
    <w:link w:val="2Char"/>
    <w:qFormat/>
    <w:pPr>
      <w:ind w:leftChars="1400" w:left="2940"/>
      <w:outlineLvl w:val="1"/>
    </w:pPr>
    <w:rPr>
      <w:sz w:val="21"/>
    </w:rPr>
  </w:style>
  <w:style w:type="character" w:customStyle="1" w:styleId="2Char">
    <w:name w:val="齐鲁模板标题2 Char"/>
    <w:link w:val="2"/>
    <w:rPr>
      <w:rFonts w:ascii="Arial" w:eastAsia="楷体_GB2312" w:hAnsi="Arial" w:cs="Times New Roman"/>
      <w:b/>
      <w:bCs/>
      <w:kern w:val="2"/>
      <w:sz w:val="21"/>
      <w:szCs w:val="32"/>
    </w:rPr>
  </w:style>
  <w:style w:type="character" w:customStyle="1" w:styleId="aff">
    <w:name w:val="齐鲁基本状况及作者"/>
    <w:qFormat/>
    <w:rPr>
      <w:rFonts w:ascii="Arial" w:eastAsia="楷体_GB2312" w:hAnsi="Arial"/>
      <w:sz w:val="18"/>
      <w:szCs w:val="18"/>
    </w:rPr>
  </w:style>
  <w:style w:type="paragraph" w:customStyle="1" w:styleId="aff0">
    <w:name w:val="齐鲁报告类型左"/>
    <w:basedOn w:val="a2"/>
    <w:qFormat/>
    <w:pPr>
      <w:framePr w:hSpace="180" w:wrap="around" w:vAnchor="text" w:hAnchor="margin" w:y="-161"/>
    </w:pPr>
    <w:rPr>
      <w:rFonts w:ascii="楷体_GB2312"/>
      <w:b/>
      <w:color w:val="FFFFFF"/>
      <w:sz w:val="28"/>
      <w:szCs w:val="28"/>
    </w:rPr>
  </w:style>
  <w:style w:type="paragraph" w:customStyle="1" w:styleId="aff1">
    <w:name w:val="齐鲁报告类型右"/>
    <w:basedOn w:val="a2"/>
    <w:qFormat/>
    <w:pPr>
      <w:framePr w:hSpace="180" w:wrap="around" w:vAnchor="text" w:hAnchor="margin" w:y="-161"/>
      <w:jc w:val="right"/>
    </w:pPr>
    <w:rPr>
      <w:rFonts w:ascii="楷体_GB2312"/>
      <w:b/>
      <w:color w:val="FFFFFF"/>
      <w:sz w:val="28"/>
      <w:szCs w:val="28"/>
    </w:rPr>
  </w:style>
  <w:style w:type="paragraph" w:customStyle="1" w:styleId="aff2">
    <w:name w:val="齐鲁股票类型"/>
    <w:basedOn w:val="a2"/>
    <w:qFormat/>
    <w:pPr>
      <w:jc w:val="center"/>
    </w:pPr>
    <w:rPr>
      <w:rFonts w:ascii="楷体_GB2312" w:hAnsi="宋体"/>
      <w:b/>
      <w:bCs/>
      <w:sz w:val="32"/>
      <w:szCs w:val="32"/>
    </w:rPr>
  </w:style>
  <w:style w:type="paragraph" w:customStyle="1" w:styleId="aff3">
    <w:name w:val="齐鲁报告标题"/>
    <w:basedOn w:val="a2"/>
    <w:qFormat/>
    <w:pPr>
      <w:jc w:val="center"/>
    </w:pPr>
    <w:rPr>
      <w:rFonts w:ascii="楷体_GB2312" w:hAnsi="宋体"/>
      <w:b/>
      <w:bCs/>
      <w:sz w:val="30"/>
      <w:szCs w:val="30"/>
    </w:rPr>
  </w:style>
  <w:style w:type="paragraph" w:customStyle="1" w:styleId="aff4">
    <w:name w:val="齐鲁首页指标数据"/>
    <w:basedOn w:val="a2"/>
    <w:qFormat/>
    <w:pPr>
      <w:jc w:val="right"/>
    </w:pPr>
    <w:rPr>
      <w:sz w:val="18"/>
      <w:szCs w:val="18"/>
    </w:rPr>
  </w:style>
  <w:style w:type="paragraph" w:customStyle="1" w:styleId="20">
    <w:name w:val="标题2"/>
    <w:basedOn w:val="a2"/>
    <w:link w:val="2Char0"/>
    <w:pPr>
      <w:tabs>
        <w:tab w:val="left" w:pos="-28"/>
      </w:tabs>
      <w:adjustRightInd w:val="0"/>
      <w:snapToGrid w:val="0"/>
      <w:spacing w:afterLines="40" w:line="310" w:lineRule="exact"/>
    </w:pPr>
    <w:rPr>
      <w:rFonts w:ascii="楷体_GB2312" w:hAnsi="楷体_GB2312"/>
      <w:b/>
      <w:bCs/>
      <w:color w:val="800080"/>
      <w:spacing w:val="-4"/>
      <w:kern w:val="0"/>
      <w:sz w:val="28"/>
      <w:lang w:val="zh-CN"/>
    </w:rPr>
  </w:style>
  <w:style w:type="character" w:customStyle="1" w:styleId="2Char0">
    <w:name w:val="标题2 Char"/>
    <w:link w:val="20"/>
    <w:rPr>
      <w:rFonts w:ascii="楷体_GB2312" w:eastAsia="楷体_GB2312" w:hAnsi="楷体_GB2312"/>
      <w:b/>
      <w:bCs/>
      <w:color w:val="800080"/>
      <w:spacing w:val="-4"/>
      <w:sz w:val="28"/>
      <w:szCs w:val="24"/>
      <w:lang w:val="zh-CN" w:eastAsia="zh-CN"/>
    </w:rPr>
  </w:style>
  <w:style w:type="paragraph" w:styleId="aff5">
    <w:name w:val="List Paragraph"/>
    <w:basedOn w:val="a2"/>
    <w:uiPriority w:val="34"/>
    <w:qFormat/>
    <w:pPr>
      <w:ind w:firstLineChars="200" w:firstLine="420"/>
    </w:pPr>
  </w:style>
  <w:style w:type="character" w:customStyle="1" w:styleId="ab">
    <w:name w:val="页眉 字符"/>
    <w:link w:val="aa"/>
    <w:rPr>
      <w:rFonts w:ascii="Arial" w:eastAsia="楷体_GB2312" w:hAnsi="Arial"/>
      <w:kern w:val="2"/>
      <w:sz w:val="21"/>
      <w:szCs w:val="24"/>
    </w:rPr>
  </w:style>
  <w:style w:type="paragraph" w:styleId="aff6">
    <w:name w:val="footnote text"/>
    <w:basedOn w:val="a2"/>
    <w:link w:val="aff7"/>
    <w:unhideWhenUsed/>
    <w:rsid w:val="00D85A79"/>
    <w:pPr>
      <w:snapToGrid w:val="0"/>
      <w:jc w:val="left"/>
    </w:pPr>
    <w:rPr>
      <w:sz w:val="18"/>
      <w:szCs w:val="18"/>
    </w:rPr>
  </w:style>
  <w:style w:type="character" w:customStyle="1" w:styleId="aff7">
    <w:name w:val="脚注文本 字符"/>
    <w:basedOn w:val="a3"/>
    <w:link w:val="aff6"/>
    <w:rsid w:val="00D85A79"/>
    <w:rPr>
      <w:rFonts w:ascii="Arial" w:eastAsia="楷体_GB2312" w:hAnsi="Arial"/>
      <w:kern w:val="2"/>
      <w:sz w:val="18"/>
      <w:szCs w:val="18"/>
    </w:rPr>
  </w:style>
  <w:style w:type="character" w:styleId="aff8">
    <w:name w:val="footnote reference"/>
    <w:basedOn w:val="a3"/>
    <w:unhideWhenUsed/>
    <w:rsid w:val="00D85A79"/>
    <w:rPr>
      <w:vertAlign w:val="superscript"/>
    </w:rPr>
  </w:style>
  <w:style w:type="character" w:customStyle="1" w:styleId="a8">
    <w:name w:val="正文文本 字符"/>
    <w:link w:val="a7"/>
    <w:rsid w:val="00D85A79"/>
    <w:rPr>
      <w:rFonts w:ascii="Arial" w:eastAsia="楷体_GB2312" w:hAnsi="Arial"/>
      <w:kern w:val="2"/>
      <w:sz w:val="21"/>
      <w:szCs w:val="24"/>
    </w:rPr>
  </w:style>
  <w:style w:type="character" w:customStyle="1" w:styleId="Char">
    <w:name w:val="正文文本 Char"/>
    <w:rsid w:val="00574C2A"/>
    <w:rPr>
      <w:rFonts w:ascii="Arial" w:eastAsia="楷体_GB2312" w:hAnsi="Arial"/>
      <w:kern w:val="2"/>
      <w:sz w:val="21"/>
      <w:szCs w:val="24"/>
    </w:rPr>
  </w:style>
  <w:style w:type="character" w:customStyle="1" w:styleId="13">
    <w:name w:val="未处理的提及1"/>
    <w:basedOn w:val="a3"/>
    <w:uiPriority w:val="99"/>
    <w:semiHidden/>
    <w:unhideWhenUsed/>
    <w:rsid w:val="003F58E4"/>
    <w:rPr>
      <w:color w:val="605E5C"/>
      <w:shd w:val="clear" w:color="auto" w:fill="E1DFDD"/>
    </w:rPr>
  </w:style>
  <w:style w:type="character" w:customStyle="1" w:styleId="21">
    <w:name w:val="未处理的提及2"/>
    <w:basedOn w:val="a3"/>
    <w:uiPriority w:val="99"/>
    <w:semiHidden/>
    <w:unhideWhenUsed/>
    <w:rsid w:val="00B104FA"/>
    <w:rPr>
      <w:color w:val="605E5C"/>
      <w:shd w:val="clear" w:color="auto" w:fill="E1DFDD"/>
    </w:rPr>
  </w:style>
  <w:style w:type="paragraph" w:styleId="TOC">
    <w:name w:val="TOC Heading"/>
    <w:basedOn w:val="1"/>
    <w:next w:val="a2"/>
    <w:uiPriority w:val="39"/>
    <w:unhideWhenUsed/>
    <w:qFormat/>
    <w:rsid w:val="00B104F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3">
    <w:name w:val="未处理的提及3"/>
    <w:basedOn w:val="a3"/>
    <w:uiPriority w:val="99"/>
    <w:semiHidden/>
    <w:unhideWhenUsed/>
    <w:rsid w:val="005C6565"/>
    <w:rPr>
      <w:color w:val="605E5C"/>
      <w:shd w:val="clear" w:color="auto" w:fill="E1DFDD"/>
    </w:rPr>
  </w:style>
  <w:style w:type="paragraph" w:customStyle="1" w:styleId="w-p">
    <w:name w:val="w-p"/>
    <w:basedOn w:val="a2"/>
    <w:rsid w:val="00595D9C"/>
    <w:pPr>
      <w:widowControl/>
      <w:spacing w:before="100" w:beforeAutospacing="1" w:after="100" w:afterAutospacing="1"/>
      <w:jc w:val="left"/>
    </w:pPr>
    <w:rPr>
      <w:rFonts w:ascii="宋体" w:eastAsia="宋体" w:hAnsi="宋体" w:cs="宋体"/>
      <w:kern w:val="0"/>
      <w:sz w:val="24"/>
    </w:rPr>
  </w:style>
  <w:style w:type="paragraph" w:styleId="aff9">
    <w:name w:val="Revision"/>
    <w:hidden/>
    <w:uiPriority w:val="99"/>
    <w:semiHidden/>
    <w:rsid w:val="00064662"/>
    <w:rPr>
      <w:rFonts w:ascii="Arial" w:eastAsia="楷体_GB2312" w:hAnsi="Arial"/>
      <w:kern w:val="2"/>
      <w:sz w:val="21"/>
      <w:szCs w:val="24"/>
    </w:rPr>
  </w:style>
  <w:style w:type="character" w:customStyle="1" w:styleId="4">
    <w:name w:val="未处理的提及4"/>
    <w:basedOn w:val="a3"/>
    <w:uiPriority w:val="99"/>
    <w:semiHidden/>
    <w:unhideWhenUsed/>
    <w:rsid w:val="001F3C9F"/>
    <w:rPr>
      <w:color w:val="605E5C"/>
      <w:shd w:val="clear" w:color="auto" w:fill="E1DFDD"/>
    </w:rPr>
  </w:style>
  <w:style w:type="character" w:customStyle="1" w:styleId="5">
    <w:name w:val="未处理的提及5"/>
    <w:basedOn w:val="a3"/>
    <w:uiPriority w:val="99"/>
    <w:semiHidden/>
    <w:unhideWhenUsed/>
    <w:rsid w:val="00524029"/>
    <w:rPr>
      <w:color w:val="605E5C"/>
      <w:shd w:val="clear" w:color="auto" w:fill="E1DFDD"/>
    </w:rPr>
  </w:style>
  <w:style w:type="character" w:customStyle="1" w:styleId="6">
    <w:name w:val="未处理的提及6"/>
    <w:basedOn w:val="a3"/>
    <w:uiPriority w:val="99"/>
    <w:semiHidden/>
    <w:unhideWhenUsed/>
    <w:rsid w:val="00E87538"/>
    <w:rPr>
      <w:color w:val="605E5C"/>
      <w:shd w:val="clear" w:color="auto" w:fill="E1DFDD"/>
    </w:rPr>
  </w:style>
  <w:style w:type="character" w:customStyle="1" w:styleId="w-text-emphasis">
    <w:name w:val="w-text-emphasis"/>
    <w:basedOn w:val="a3"/>
    <w:rsid w:val="00247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9548">
      <w:bodyDiv w:val="1"/>
      <w:marLeft w:val="0"/>
      <w:marRight w:val="0"/>
      <w:marTop w:val="0"/>
      <w:marBottom w:val="0"/>
      <w:divBdr>
        <w:top w:val="none" w:sz="0" w:space="0" w:color="auto"/>
        <w:left w:val="none" w:sz="0" w:space="0" w:color="auto"/>
        <w:bottom w:val="none" w:sz="0" w:space="0" w:color="auto"/>
        <w:right w:val="none" w:sz="0" w:space="0" w:color="auto"/>
      </w:divBdr>
    </w:div>
    <w:div w:id="407654664">
      <w:bodyDiv w:val="1"/>
      <w:marLeft w:val="0"/>
      <w:marRight w:val="0"/>
      <w:marTop w:val="0"/>
      <w:marBottom w:val="0"/>
      <w:divBdr>
        <w:top w:val="none" w:sz="0" w:space="0" w:color="auto"/>
        <w:left w:val="none" w:sz="0" w:space="0" w:color="auto"/>
        <w:bottom w:val="none" w:sz="0" w:space="0" w:color="auto"/>
        <w:right w:val="none" w:sz="0" w:space="0" w:color="auto"/>
      </w:divBdr>
    </w:div>
    <w:div w:id="425199367">
      <w:bodyDiv w:val="1"/>
      <w:marLeft w:val="0"/>
      <w:marRight w:val="0"/>
      <w:marTop w:val="0"/>
      <w:marBottom w:val="0"/>
      <w:divBdr>
        <w:top w:val="none" w:sz="0" w:space="0" w:color="auto"/>
        <w:left w:val="none" w:sz="0" w:space="0" w:color="auto"/>
        <w:bottom w:val="none" w:sz="0" w:space="0" w:color="auto"/>
        <w:right w:val="none" w:sz="0" w:space="0" w:color="auto"/>
      </w:divBdr>
    </w:div>
    <w:div w:id="467823820">
      <w:bodyDiv w:val="1"/>
      <w:marLeft w:val="0"/>
      <w:marRight w:val="0"/>
      <w:marTop w:val="0"/>
      <w:marBottom w:val="0"/>
      <w:divBdr>
        <w:top w:val="none" w:sz="0" w:space="0" w:color="auto"/>
        <w:left w:val="none" w:sz="0" w:space="0" w:color="auto"/>
        <w:bottom w:val="none" w:sz="0" w:space="0" w:color="auto"/>
        <w:right w:val="none" w:sz="0" w:space="0" w:color="auto"/>
      </w:divBdr>
    </w:div>
    <w:div w:id="583761718">
      <w:bodyDiv w:val="1"/>
      <w:marLeft w:val="0"/>
      <w:marRight w:val="0"/>
      <w:marTop w:val="0"/>
      <w:marBottom w:val="0"/>
      <w:divBdr>
        <w:top w:val="none" w:sz="0" w:space="0" w:color="auto"/>
        <w:left w:val="none" w:sz="0" w:space="0" w:color="auto"/>
        <w:bottom w:val="none" w:sz="0" w:space="0" w:color="auto"/>
        <w:right w:val="none" w:sz="0" w:space="0" w:color="auto"/>
      </w:divBdr>
    </w:div>
    <w:div w:id="685206005">
      <w:bodyDiv w:val="1"/>
      <w:marLeft w:val="0"/>
      <w:marRight w:val="0"/>
      <w:marTop w:val="0"/>
      <w:marBottom w:val="0"/>
      <w:divBdr>
        <w:top w:val="none" w:sz="0" w:space="0" w:color="auto"/>
        <w:left w:val="none" w:sz="0" w:space="0" w:color="auto"/>
        <w:bottom w:val="none" w:sz="0" w:space="0" w:color="auto"/>
        <w:right w:val="none" w:sz="0" w:space="0" w:color="auto"/>
      </w:divBdr>
    </w:div>
    <w:div w:id="801002460">
      <w:bodyDiv w:val="1"/>
      <w:marLeft w:val="0"/>
      <w:marRight w:val="0"/>
      <w:marTop w:val="0"/>
      <w:marBottom w:val="0"/>
      <w:divBdr>
        <w:top w:val="none" w:sz="0" w:space="0" w:color="auto"/>
        <w:left w:val="none" w:sz="0" w:space="0" w:color="auto"/>
        <w:bottom w:val="none" w:sz="0" w:space="0" w:color="auto"/>
        <w:right w:val="none" w:sz="0" w:space="0" w:color="auto"/>
      </w:divBdr>
    </w:div>
    <w:div w:id="1282808555">
      <w:bodyDiv w:val="1"/>
      <w:marLeft w:val="0"/>
      <w:marRight w:val="0"/>
      <w:marTop w:val="0"/>
      <w:marBottom w:val="0"/>
      <w:divBdr>
        <w:top w:val="none" w:sz="0" w:space="0" w:color="auto"/>
        <w:left w:val="none" w:sz="0" w:space="0" w:color="auto"/>
        <w:bottom w:val="none" w:sz="0" w:space="0" w:color="auto"/>
        <w:right w:val="none" w:sz="0" w:space="0" w:color="auto"/>
      </w:divBdr>
    </w:div>
    <w:div w:id="1330015642">
      <w:bodyDiv w:val="1"/>
      <w:marLeft w:val="0"/>
      <w:marRight w:val="0"/>
      <w:marTop w:val="0"/>
      <w:marBottom w:val="0"/>
      <w:divBdr>
        <w:top w:val="none" w:sz="0" w:space="0" w:color="auto"/>
        <w:left w:val="none" w:sz="0" w:space="0" w:color="auto"/>
        <w:bottom w:val="none" w:sz="0" w:space="0" w:color="auto"/>
        <w:right w:val="none" w:sz="0" w:space="0" w:color="auto"/>
      </w:divBdr>
    </w:div>
    <w:div w:id="1732731418">
      <w:bodyDiv w:val="1"/>
      <w:marLeft w:val="0"/>
      <w:marRight w:val="0"/>
      <w:marTop w:val="0"/>
      <w:marBottom w:val="0"/>
      <w:divBdr>
        <w:top w:val="none" w:sz="0" w:space="0" w:color="auto"/>
        <w:left w:val="none" w:sz="0" w:space="0" w:color="auto"/>
        <w:bottom w:val="none" w:sz="0" w:space="0" w:color="auto"/>
        <w:right w:val="none" w:sz="0" w:space="0" w:color="auto"/>
      </w:divBdr>
    </w:div>
    <w:div w:id="1966305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AE1FD6-5C1D-45BC-9954-93FB524B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5485</TotalTime>
  <Pages>1</Pages>
  <Words>1765</Words>
  <Characters>10066</Characters>
  <Application>Microsoft Office Word</Application>
  <DocSecurity>0</DocSecurity>
  <Lines>83</Lines>
  <Paragraphs>23</Paragraphs>
  <ScaleCrop>false</ScaleCrop>
  <Company>sinitke</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[Table_Main]</dc:title>
  <dc:creator>zhuyanmiao</dc:creator>
  <cp:lastModifiedBy>shen yang</cp:lastModifiedBy>
  <cp:revision>1673</cp:revision>
  <cp:lastPrinted>2021-08-08T13:48:00Z</cp:lastPrinted>
  <dcterms:created xsi:type="dcterms:W3CDTF">2017-05-27T06:53:00Z</dcterms:created>
  <dcterms:modified xsi:type="dcterms:W3CDTF">2021-08-21T14:43:00Z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status">
    <vt:lpwstr> </vt:lpwstr>
  </property>
  <property fmtid="{D5CDD505-2E9C-101B-9397-08002B2CF9AE}" pid="3" name="industrycode">
    <vt:lpwstr> </vt:lpwstr>
  </property>
  <property fmtid="{D5CDD505-2E9C-101B-9397-08002B2CF9AE}" pid="4" name="industryname">
    <vt:lpwstr>行业</vt:lpwstr>
  </property>
  <property fmtid="{D5CDD505-2E9C-101B-9397-08002B2CF9AE}" pid="5" name="investrank">
    <vt:lpwstr> </vt:lpwstr>
  </property>
  <property fmtid="{D5CDD505-2E9C-101B-9397-08002B2CF9AE}" pid="6" name="investrankname">
    <vt:lpwstr> </vt:lpwstr>
  </property>
  <property fmtid="{D5CDD505-2E9C-101B-9397-08002B2CF9AE}" pid="7" name="lastinvestrank">
    <vt:lpwstr> </vt:lpwstr>
  </property>
  <property fmtid="{D5CDD505-2E9C-101B-9397-08002B2CF9AE}" pid="8" name="targetprice">
    <vt:lpwstr> </vt:lpwstr>
  </property>
  <property fmtid="{D5CDD505-2E9C-101B-9397-08002B2CF9AE}" pid="9" name="totalshares">
    <vt:lpwstr> </vt:lpwstr>
  </property>
  <property fmtid="{D5CDD505-2E9C-101B-9397-08002B2CF9AE}" pid="10" name="yeare">
    <vt:lpwstr>2009</vt:lpwstr>
  </property>
  <property fmtid="{D5CDD505-2E9C-101B-9397-08002B2CF9AE}" pid="11" name="empid">
    <vt:lpwstr/>
  </property>
  <property fmtid="{D5CDD505-2E9C-101B-9397-08002B2CF9AE}" pid="12" name="empname">
    <vt:lpwstr> </vt:lpwstr>
  </property>
  <property fmtid="{D5CDD505-2E9C-101B-9397-08002B2CF9AE}" pid="13" name="authorid">
    <vt:lpwstr>999007230,999007270</vt:lpwstr>
  </property>
  <property fmtid="{D5CDD505-2E9C-101B-9397-08002B2CF9AE}" pid="14" name="yearet">
    <vt:lpwstr>  </vt:lpwstr>
  </property>
  <property fmtid="{D5CDD505-2E9C-101B-9397-08002B2CF9AE}" pid="15" name="yearet1">
    <vt:lpwstr> </vt:lpwstr>
  </property>
  <property fmtid="{D5CDD505-2E9C-101B-9397-08002B2CF9AE}" pid="16" name="yearet2">
    <vt:lpwstr> </vt:lpwstr>
  </property>
  <property fmtid="{D5CDD505-2E9C-101B-9397-08002B2CF9AE}" pid="17" name="date">
    <vt:lpwstr>2016年12月26日</vt:lpwstr>
  </property>
  <property fmtid="{D5CDD505-2E9C-101B-9397-08002B2CF9AE}" pid="18" name="scode">
    <vt:lpwstr>股票名称（股票代码）</vt:lpwstr>
  </property>
  <property fmtid="{D5CDD505-2E9C-101B-9397-08002B2CF9AE}" pid="19" name="sname">
    <vt:lpwstr> </vt:lpwstr>
  </property>
  <property fmtid="{D5CDD505-2E9C-101B-9397-08002B2CF9AE}" pid="20" name="mktcode">
    <vt:lpwstr> </vt:lpwstr>
  </property>
  <property fmtid="{D5CDD505-2E9C-101B-9397-08002B2CF9AE}" pid="21" name="compliance">
    <vt:lpwstr> </vt:lpwstr>
  </property>
  <property fmtid="{D5CDD505-2E9C-101B-9397-08002B2CF9AE}" pid="22" name="compliance1">
    <vt:lpwstr>重要声明：</vt:lpwstr>
  </property>
  <property fmtid="{D5CDD505-2E9C-101B-9397-08002B2CF9AE}" pid="23" name="compliance2">
    <vt:lpwstr> </vt:lpwstr>
  </property>
  <property fmtid="{D5CDD505-2E9C-101B-9397-08002B2CF9AE}" pid="24" name="KSOProductBuildVer">
    <vt:lpwstr>2052-11.1.0.10577</vt:lpwstr>
  </property>
  <property fmtid="{D5CDD505-2E9C-101B-9397-08002B2CF9AE}" pid="25" name="ICV">
    <vt:lpwstr>AD57DFA6E7D74AEAB08315E198F7C2D6</vt:lpwstr>
  </property>
  <property fmtid="{D5CDD505-2E9C-101B-9397-08002B2CF9AE}" pid="26" name="snkdocver">
    <vt:lpwstr>3</vt:lpwstr>
  </property>
  <property fmtid="{D5CDD505-2E9C-101B-9397-08002B2CF9AE}" pid="27" name="snkdocid">
    <vt:lpwstr>120557</vt:lpwstr>
  </property>
  <property fmtid="{D5CDD505-2E9C-101B-9397-08002B2CF9AE}" pid="28" name="WSURL">
    <vt:lpwstr>http://116.246.24.146:8220/</vt:lpwstr>
  </property>
  <property fmtid="{D5CDD505-2E9C-101B-9397-08002B2CF9AE}" pid="29" name="doctypeid">
    <vt:lpwstr>167</vt:lpwstr>
  </property>
  <property fmtid="{D5CDD505-2E9C-101B-9397-08002B2CF9AE}" pid="30" name="templateid">
    <vt:lpwstr>120557</vt:lpwstr>
  </property>
  <property fmtid="{D5CDD505-2E9C-101B-9397-08002B2CF9AE}" pid="31" name="templatetype">
    <vt:lpwstr>100040</vt:lpwstr>
  </property>
  <property fmtid="{D5CDD505-2E9C-101B-9397-08002B2CF9AE}" pid="32" name="researcherunitid">
    <vt:lpwstr>999000922</vt:lpwstr>
  </property>
  <property fmtid="{D5CDD505-2E9C-101B-9397-08002B2CF9AE}" pid="33" name="authorid2">
    <vt:lpwstr>999007230</vt:lpwstr>
  </property>
  <property fmtid="{D5CDD505-2E9C-101B-9397-08002B2CF9AE}" pid="34" name="showauthorid">
    <vt:lpwstr>999007270</vt:lpwstr>
  </property>
  <property fmtid="{D5CDD505-2E9C-101B-9397-08002B2CF9AE}" pid="35" name="qualityno">
    <vt:lpwstr>S0740520100003</vt:lpwstr>
  </property>
  <property fmtid="{D5CDD505-2E9C-101B-9397-08002B2CF9AE}" pid="36" name="authortype">
    <vt:lpwstr>分析师</vt:lpwstr>
  </property>
  <property fmtid="{D5CDD505-2E9C-101B-9397-08002B2CF9AE}" pid="37" name="authortypeid">
    <vt:lpwstr>0</vt:lpwstr>
  </property>
  <property fmtid="{D5CDD505-2E9C-101B-9397-08002B2CF9AE}" pid="38" name="emptype">
    <vt:lpwstr>分析师</vt:lpwstr>
  </property>
  <property fmtid="{D5CDD505-2E9C-101B-9397-08002B2CF9AE}" pid="39" name="authorname">
    <vt:lpwstr>周岳</vt:lpwstr>
  </property>
  <property fmtid="{D5CDD505-2E9C-101B-9397-08002B2CF9AE}" pid="40" name="enddate">
    <vt:lpwstr>2021年7月1日</vt:lpwstr>
  </property>
</Properties>
</file>