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1AC853D" w:rsidP="2464F6EC" w:rsidRDefault="71AC853D" w14:paraId="2AF65568" w14:textId="61D17E3D">
      <w:pPr>
        <w:spacing w:line="276" w:lineRule="auto"/>
        <w:jc w:val="center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 xml:space="preserve">Data Analytics </w:t>
      </w:r>
      <w:r w:rsidRPr="75D68000" w:rsidR="7199C0E0">
        <w:rPr>
          <w:rFonts w:ascii="Arial" w:hAnsi="Arial" w:eastAsia="Arial" w:cs="Arial"/>
          <w:b/>
          <w:sz w:val="30"/>
          <w:szCs w:val="30"/>
        </w:rPr>
        <w:t>- Data Analytics Professional Certificate</w:t>
      </w:r>
    </w:p>
    <w:p w:rsidR="71AC853D" w:rsidP="2464F6EC" w:rsidRDefault="71AC853D" w14:paraId="24FA4E62" w14:textId="43045F27">
      <w:pPr>
        <w:spacing w:line="276" w:lineRule="auto"/>
        <w:jc w:val="center"/>
        <w:rPr>
          <w:rFonts w:ascii="Arial" w:hAnsi="Arial" w:eastAsia="Arial" w:cs="Arial"/>
          <w:b/>
          <w:sz w:val="30"/>
          <w:szCs w:val="30"/>
        </w:rPr>
      </w:pPr>
      <w:proofErr w:type="spellStart"/>
      <w:r w:rsidRPr="75D68000">
        <w:rPr>
          <w:rFonts w:ascii="Arial" w:hAnsi="Arial" w:eastAsia="Arial" w:cs="Arial"/>
          <w:b/>
          <w:sz w:val="30"/>
          <w:szCs w:val="30"/>
        </w:rPr>
        <w:t>TomoWork</w:t>
      </w:r>
      <w:proofErr w:type="spellEnd"/>
      <w:r w:rsidRPr="75D68000">
        <w:rPr>
          <w:rFonts w:ascii="Arial" w:hAnsi="Arial" w:eastAsia="Arial" w:cs="Arial"/>
          <w:b/>
          <w:sz w:val="30"/>
          <w:szCs w:val="30"/>
        </w:rPr>
        <w:t xml:space="preserve"> Talent Accelerator Programme (TAP) </w:t>
      </w:r>
    </w:p>
    <w:p w:rsidR="2464F6EC" w:rsidP="2464F6EC" w:rsidRDefault="2464F6EC" w14:paraId="47170C03" w14:textId="3C0AF72C">
      <w:pPr>
        <w:spacing w:line="276" w:lineRule="auto"/>
        <w:jc w:val="center"/>
        <w:rPr>
          <w:rFonts w:ascii="Arial" w:hAnsi="Arial" w:eastAsia="Arial" w:cs="Arial"/>
          <w:b/>
          <w:sz w:val="30"/>
          <w:szCs w:val="30"/>
        </w:rPr>
      </w:pPr>
    </w:p>
    <w:p w:rsidR="71AC853D" w:rsidP="2464F6EC" w:rsidRDefault="71AC853D" w14:paraId="22A11ACC" w14:textId="37B97C55">
      <w:pPr>
        <w:spacing w:line="276" w:lineRule="auto"/>
        <w:rPr>
          <w:rFonts w:ascii="Arial" w:hAnsi="Arial" w:eastAsia="Arial" w:cs="Arial"/>
          <w:b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>Introduction</w:t>
      </w:r>
    </w:p>
    <w:p w:rsidR="71AC853D" w:rsidP="2464F6EC" w:rsidRDefault="71AC853D" w14:paraId="5FE2FB02" w14:textId="3528D7A5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0F25B07A" w:rsidR="71AC853D">
        <w:rPr>
          <w:rFonts w:ascii="Arial" w:hAnsi="Arial" w:eastAsia="Arial" w:cs="Arial"/>
          <w:sz w:val="30"/>
          <w:szCs w:val="30"/>
        </w:rPr>
        <w:t>Welcome to the Data Analytics Track! In the upcoming skills-based economy,</w:t>
      </w:r>
      <w:r w:rsidRPr="0F25B07A" w:rsidR="23FEA2C1">
        <w:rPr>
          <w:rFonts w:ascii="Arial" w:hAnsi="Arial" w:eastAsia="Arial" w:cs="Arial"/>
          <w:sz w:val="30"/>
          <w:szCs w:val="30"/>
        </w:rPr>
        <w:t xml:space="preserve"> industry recognised certifications play a </w:t>
      </w:r>
      <w:r w:rsidRPr="0F25B07A" w:rsidR="2C65095A">
        <w:rPr>
          <w:rFonts w:ascii="Arial" w:hAnsi="Arial" w:eastAsia="Arial" w:cs="Arial"/>
          <w:sz w:val="30"/>
          <w:szCs w:val="30"/>
        </w:rPr>
        <w:t>pivotal</w:t>
      </w:r>
      <w:r w:rsidRPr="0F25B07A" w:rsidR="23FEA2C1">
        <w:rPr>
          <w:rFonts w:ascii="Arial" w:hAnsi="Arial" w:eastAsia="Arial" w:cs="Arial"/>
          <w:sz w:val="30"/>
          <w:szCs w:val="30"/>
        </w:rPr>
        <w:t xml:space="preserve"> role in representing the skills you have. In our TAP, all participants aim to complete at least </w:t>
      </w:r>
      <w:r w:rsidRPr="0F25B07A" w:rsidR="006E2FDB">
        <w:rPr>
          <w:rFonts w:ascii="Arial" w:hAnsi="Arial" w:eastAsia="Arial" w:cs="Arial"/>
          <w:sz w:val="30"/>
          <w:szCs w:val="30"/>
        </w:rPr>
        <w:t>two</w:t>
      </w:r>
      <w:r w:rsidRPr="0F25B07A" w:rsidR="23FEA2C1">
        <w:rPr>
          <w:rFonts w:ascii="Arial" w:hAnsi="Arial" w:eastAsia="Arial" w:cs="Arial"/>
          <w:sz w:val="30"/>
          <w:szCs w:val="30"/>
        </w:rPr>
        <w:t xml:space="preserve"> </w:t>
      </w:r>
      <w:r w:rsidRPr="0F25B07A" w:rsidR="7CE0648C">
        <w:rPr>
          <w:rFonts w:ascii="Arial" w:hAnsi="Arial" w:eastAsia="Arial" w:cs="Arial"/>
          <w:sz w:val="30"/>
          <w:szCs w:val="30"/>
        </w:rPr>
        <w:t>learning</w:t>
      </w:r>
      <w:r w:rsidRPr="0F25B07A" w:rsidR="23FEA2C1">
        <w:rPr>
          <w:rFonts w:ascii="Arial" w:hAnsi="Arial" w:eastAsia="Arial" w:cs="Arial"/>
          <w:sz w:val="30"/>
          <w:szCs w:val="30"/>
        </w:rPr>
        <w:t xml:space="preserve">. </w:t>
      </w:r>
      <w:r w:rsidRPr="0F25B07A" w:rsidR="3B384DCF">
        <w:rPr>
          <w:rFonts w:ascii="Arial" w:hAnsi="Arial" w:eastAsia="Arial" w:cs="Arial"/>
          <w:sz w:val="30"/>
          <w:szCs w:val="30"/>
        </w:rPr>
        <w:t>Below are the</w:t>
      </w:r>
      <w:r w:rsidRPr="0F25B07A" w:rsidR="23FEA2C1">
        <w:rPr>
          <w:rFonts w:ascii="Arial" w:hAnsi="Arial" w:eastAsia="Arial" w:cs="Arial"/>
          <w:sz w:val="30"/>
          <w:szCs w:val="30"/>
        </w:rPr>
        <w:t xml:space="preserve"> </w:t>
      </w:r>
      <w:r w:rsidRPr="0F25B07A" w:rsidR="47ACFA6D">
        <w:rPr>
          <w:rFonts w:ascii="Arial" w:hAnsi="Arial" w:eastAsia="Arial" w:cs="Arial"/>
          <w:sz w:val="30"/>
          <w:szCs w:val="30"/>
        </w:rPr>
        <w:t xml:space="preserve">five </w:t>
      </w:r>
      <w:r w:rsidRPr="0F25B07A" w:rsidR="23FEA2C1">
        <w:rPr>
          <w:rFonts w:ascii="Arial" w:hAnsi="Arial" w:eastAsia="Arial" w:cs="Arial"/>
          <w:sz w:val="30"/>
          <w:szCs w:val="30"/>
        </w:rPr>
        <w:t>learning tracks in TAP</w:t>
      </w:r>
      <w:r w:rsidRPr="0F25B07A" w:rsidR="1565D509">
        <w:rPr>
          <w:rFonts w:ascii="Arial" w:hAnsi="Arial" w:eastAsia="Arial" w:cs="Arial"/>
          <w:sz w:val="30"/>
          <w:szCs w:val="30"/>
        </w:rPr>
        <w:t xml:space="preserve">: </w:t>
      </w:r>
    </w:p>
    <w:p w:rsidR="1565D509" w:rsidP="2464F6EC" w:rsidRDefault="1565D509" w14:paraId="6757722A" w14:textId="27ED140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>Financial Markets</w:t>
      </w:r>
    </w:p>
    <w:p w:rsidR="1565D509" w:rsidP="2464F6EC" w:rsidRDefault="1565D509" w14:paraId="6FA83D24" w14:textId="05CDA862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Sustainability </w:t>
      </w:r>
    </w:p>
    <w:p w:rsidR="1565D509" w:rsidP="0F25B07A" w:rsidRDefault="1565D509" w14:paraId="2A6DC45D" w14:textId="068D5CB4" w14:noSpellErr="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b w:val="1"/>
          <w:bCs w:val="1"/>
          <w:sz w:val="30"/>
          <w:szCs w:val="30"/>
        </w:rPr>
      </w:pPr>
      <w:r w:rsidRPr="0F25B07A" w:rsidR="1565D509">
        <w:rPr>
          <w:rFonts w:ascii="Arial" w:hAnsi="Arial" w:eastAsia="Arial" w:cs="Arial"/>
          <w:b w:val="1"/>
          <w:bCs w:val="1"/>
          <w:sz w:val="30"/>
          <w:szCs w:val="30"/>
        </w:rPr>
        <w:t xml:space="preserve">Data Analytics </w:t>
      </w:r>
    </w:p>
    <w:p w:rsidR="1565D509" w:rsidP="0F25B07A" w:rsidRDefault="1565D509" w14:paraId="7CA47C73" w14:textId="59FA6CA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0F25B07A" w:rsidR="1565D509">
        <w:rPr>
          <w:rFonts w:ascii="Arial" w:hAnsi="Arial" w:eastAsia="Arial" w:cs="Arial"/>
          <w:sz w:val="30"/>
          <w:szCs w:val="30"/>
        </w:rPr>
        <w:t xml:space="preserve">Digital Marketing </w:t>
      </w:r>
    </w:p>
    <w:p w:rsidR="4AC7486A" w:rsidP="0F25B07A" w:rsidRDefault="4AC7486A" w14:paraId="09AD6646" w14:textId="72301AB0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0F25B07A" w:rsidR="4AC7486A">
        <w:rPr>
          <w:rFonts w:ascii="Arial" w:hAnsi="Arial" w:eastAsia="Arial" w:cs="Arial"/>
          <w:noProof w:val="0"/>
          <w:sz w:val="30"/>
          <w:szCs w:val="30"/>
          <w:lang w:val="en-GB"/>
        </w:rPr>
        <w:t>UI/UX Design</w:t>
      </w:r>
    </w:p>
    <w:p w:rsidR="4AC7486A" w:rsidP="0F25B07A" w:rsidRDefault="4AC7486A" w14:paraId="70345096" w14:textId="02B3D93C">
      <w:pPr>
        <w:pStyle w:val="ListParagraph"/>
        <w:numPr>
          <w:ilvl w:val="1"/>
          <w:numId w:val="6"/>
        </w:numPr>
        <w:spacing w:line="257" w:lineRule="auto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0F25B07A" w:rsidR="4AC7486A">
        <w:rPr>
          <w:rFonts w:ascii="Arial" w:hAnsi="Arial" w:eastAsia="Arial" w:cs="Arial"/>
          <w:noProof w:val="0"/>
          <w:sz w:val="30"/>
          <w:szCs w:val="30"/>
          <w:lang w:val="en-GB"/>
        </w:rPr>
        <w:t>UIUX Design (Option 1)</w:t>
      </w:r>
    </w:p>
    <w:p w:rsidR="4AC7486A" w:rsidP="0F25B07A" w:rsidRDefault="4AC7486A" w14:paraId="2F0B5094" w14:textId="420BF996">
      <w:pPr>
        <w:pStyle w:val="ListParagraph"/>
        <w:numPr>
          <w:ilvl w:val="1"/>
          <w:numId w:val="6"/>
        </w:numPr>
        <w:spacing w:line="257" w:lineRule="auto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0F25B07A" w:rsidR="4AC7486A">
        <w:rPr>
          <w:rFonts w:ascii="Arial" w:hAnsi="Arial" w:eastAsia="Arial" w:cs="Arial"/>
          <w:noProof w:val="0"/>
          <w:sz w:val="30"/>
          <w:szCs w:val="30"/>
          <w:lang w:val="en-GB"/>
        </w:rPr>
        <w:t>Accessibility Design (Option 2)</w:t>
      </w:r>
    </w:p>
    <w:p w:rsidR="0F25B07A" w:rsidP="0F25B07A" w:rsidRDefault="0F25B07A" w14:paraId="3C4995E0" w14:textId="225E0381">
      <w:pPr>
        <w:pStyle w:val="Normal"/>
        <w:spacing w:line="276" w:lineRule="auto"/>
        <w:rPr>
          <w:rFonts w:ascii="Arial" w:hAnsi="Arial" w:eastAsia="Arial" w:cs="Arial"/>
          <w:sz w:val="30"/>
          <w:szCs w:val="30"/>
        </w:rPr>
      </w:pPr>
    </w:p>
    <w:p w:rsidR="083FE6F0" w:rsidP="2464F6EC" w:rsidRDefault="083FE6F0" w14:paraId="05E0E268" w14:textId="617F555B">
      <w:pPr>
        <w:spacing w:line="276" w:lineRule="auto"/>
        <w:rPr>
          <w:rFonts w:ascii="Arial" w:hAnsi="Arial" w:eastAsia="Arial" w:cs="Arial"/>
          <w:b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 xml:space="preserve">What </w:t>
      </w:r>
      <w:proofErr w:type="gramStart"/>
      <w:r w:rsidRPr="75D68000">
        <w:rPr>
          <w:rFonts w:ascii="Arial" w:hAnsi="Arial" w:eastAsia="Arial" w:cs="Arial"/>
          <w:b/>
          <w:sz w:val="30"/>
          <w:szCs w:val="30"/>
        </w:rPr>
        <w:t>is</w:t>
      </w:r>
      <w:proofErr w:type="gramEnd"/>
      <w:r w:rsidRPr="75D68000">
        <w:rPr>
          <w:rFonts w:ascii="Arial" w:hAnsi="Arial" w:eastAsia="Arial" w:cs="Arial"/>
          <w:b/>
          <w:sz w:val="30"/>
          <w:szCs w:val="30"/>
        </w:rPr>
        <w:t xml:space="preserve"> Data Analytics? </w:t>
      </w:r>
    </w:p>
    <w:p w:rsidR="083FE6F0" w:rsidP="2464F6EC" w:rsidRDefault="083FE6F0" w14:paraId="652E2E55" w14:textId="5CF527E3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>Data Analytics is the</w:t>
      </w:r>
      <w:r w:rsidRPr="75D68000" w:rsidR="4A6145B9">
        <w:rPr>
          <w:rFonts w:ascii="Arial" w:hAnsi="Arial" w:eastAsia="Arial" w:cs="Arial"/>
          <w:sz w:val="30"/>
          <w:szCs w:val="30"/>
        </w:rPr>
        <w:t xml:space="preserve"> </w:t>
      </w:r>
      <w:r w:rsidRPr="75D68000" w:rsidR="7C55F84A">
        <w:rPr>
          <w:rFonts w:ascii="Arial" w:hAnsi="Arial" w:eastAsia="Arial" w:cs="Arial"/>
          <w:sz w:val="30"/>
          <w:szCs w:val="30"/>
        </w:rPr>
        <w:t xml:space="preserve">process of examining </w:t>
      </w:r>
      <w:r w:rsidRPr="75D68000" w:rsidR="3BE94D4E">
        <w:rPr>
          <w:rFonts w:ascii="Arial" w:hAnsi="Arial" w:eastAsia="Arial" w:cs="Arial"/>
          <w:sz w:val="30"/>
          <w:szCs w:val="30"/>
        </w:rPr>
        <w:t xml:space="preserve">raw </w:t>
      </w:r>
      <w:r w:rsidRPr="75D68000" w:rsidR="7C55F84A">
        <w:rPr>
          <w:rFonts w:ascii="Arial" w:hAnsi="Arial" w:eastAsia="Arial" w:cs="Arial"/>
          <w:sz w:val="30"/>
          <w:szCs w:val="30"/>
        </w:rPr>
        <w:t xml:space="preserve">data sets </w:t>
      </w:r>
      <w:r w:rsidRPr="75D68000" w:rsidR="73A06D47">
        <w:rPr>
          <w:rFonts w:ascii="Arial" w:hAnsi="Arial" w:eastAsia="Arial" w:cs="Arial"/>
          <w:sz w:val="30"/>
          <w:szCs w:val="30"/>
        </w:rPr>
        <w:t>to</w:t>
      </w:r>
      <w:r w:rsidRPr="75D68000" w:rsidR="7C55F84A">
        <w:rPr>
          <w:rFonts w:ascii="Arial" w:hAnsi="Arial" w:eastAsia="Arial" w:cs="Arial"/>
          <w:sz w:val="30"/>
          <w:szCs w:val="30"/>
        </w:rPr>
        <w:t xml:space="preserve"> find trends and draw conclusions</w:t>
      </w:r>
      <w:r w:rsidRPr="75D68000" w:rsidR="5493EFB6">
        <w:rPr>
          <w:rFonts w:ascii="Arial" w:hAnsi="Arial" w:eastAsia="Arial" w:cs="Arial"/>
          <w:sz w:val="30"/>
          <w:szCs w:val="30"/>
        </w:rPr>
        <w:t xml:space="preserve">, make predictions and drive informed decision making based on </w:t>
      </w:r>
      <w:r w:rsidRPr="75D68000" w:rsidR="7C55F84A">
        <w:rPr>
          <w:rFonts w:ascii="Arial" w:hAnsi="Arial" w:eastAsia="Arial" w:cs="Arial"/>
          <w:sz w:val="30"/>
          <w:szCs w:val="30"/>
        </w:rPr>
        <w:t xml:space="preserve">the </w:t>
      </w:r>
      <w:r w:rsidRPr="75D68000" w:rsidR="2CDAB998">
        <w:rPr>
          <w:rFonts w:ascii="Arial" w:hAnsi="Arial" w:eastAsia="Arial" w:cs="Arial"/>
          <w:sz w:val="30"/>
          <w:szCs w:val="30"/>
        </w:rPr>
        <w:t>given informatio</w:t>
      </w:r>
      <w:r w:rsidRPr="75D68000" w:rsidR="7C55F84A">
        <w:rPr>
          <w:rFonts w:ascii="Arial" w:hAnsi="Arial" w:eastAsia="Arial" w:cs="Arial"/>
          <w:sz w:val="30"/>
          <w:szCs w:val="30"/>
        </w:rPr>
        <w:t xml:space="preserve">n. </w:t>
      </w:r>
      <w:r w:rsidRPr="75D68000" w:rsidR="3E713988">
        <w:rPr>
          <w:rFonts w:ascii="Arial" w:hAnsi="Arial" w:eastAsia="Arial" w:cs="Arial"/>
          <w:sz w:val="30"/>
          <w:szCs w:val="30"/>
        </w:rPr>
        <w:t xml:space="preserve">It </w:t>
      </w:r>
      <w:r w:rsidRPr="75D68000" w:rsidR="1992F4B2">
        <w:rPr>
          <w:rFonts w:ascii="Arial" w:hAnsi="Arial" w:eastAsia="Arial" w:cs="Arial"/>
          <w:sz w:val="30"/>
          <w:szCs w:val="30"/>
        </w:rPr>
        <w:t xml:space="preserve">mainly </w:t>
      </w:r>
      <w:r w:rsidRPr="75D68000" w:rsidR="3E713988">
        <w:rPr>
          <w:rFonts w:ascii="Arial" w:hAnsi="Arial" w:eastAsia="Arial" w:cs="Arial"/>
          <w:sz w:val="30"/>
          <w:szCs w:val="30"/>
        </w:rPr>
        <w:t xml:space="preserve">refers to an array of applications, ranging from basic business intelligence to advanced analytics. </w:t>
      </w:r>
    </w:p>
    <w:p w:rsidR="2464F6EC" w:rsidP="2464F6EC" w:rsidRDefault="2464F6EC" w14:paraId="6DE400FC" w14:textId="179F7A9D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4BFB9BDD" w:rsidP="2464F6EC" w:rsidRDefault="4BFB9BDD" w14:paraId="3AE58DC7" w14:textId="7C7ED48B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>Why Data Analytics?</w:t>
      </w:r>
      <w:r w:rsidRPr="75D68000">
        <w:rPr>
          <w:rFonts w:ascii="Arial" w:hAnsi="Arial" w:eastAsia="Arial" w:cs="Arial"/>
          <w:sz w:val="30"/>
          <w:szCs w:val="30"/>
        </w:rPr>
        <w:t xml:space="preserve"> </w:t>
      </w:r>
    </w:p>
    <w:p w:rsidR="02FE98CF" w:rsidP="04AEA653" w:rsidRDefault="02FE98CF" w14:paraId="7FFEDCCD" w14:textId="6058F5DE">
      <w:pPr>
        <w:spacing w:line="276" w:lineRule="auto"/>
        <w:rPr>
          <w:rFonts w:ascii="Arial" w:hAnsi="Arial" w:eastAsia="Arial" w:cs="Arial"/>
          <w:i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Many businesses today revolve around consumer satisfaction and </w:t>
      </w:r>
      <w:r w:rsidRPr="75D68000" w:rsidR="0062B898">
        <w:rPr>
          <w:rFonts w:ascii="Arial" w:hAnsi="Arial" w:eastAsia="Arial" w:cs="Arial"/>
          <w:sz w:val="30"/>
          <w:szCs w:val="30"/>
        </w:rPr>
        <w:t>efficiency</w:t>
      </w:r>
      <w:r w:rsidRPr="75D68000" w:rsidR="4E00CA31">
        <w:rPr>
          <w:rFonts w:ascii="Arial" w:hAnsi="Arial" w:eastAsia="Arial" w:cs="Arial"/>
          <w:sz w:val="30"/>
          <w:szCs w:val="30"/>
        </w:rPr>
        <w:t xml:space="preserve">, which data analytics is key to </w:t>
      </w:r>
      <w:r w:rsidRPr="75D68000" w:rsidR="021C5D8F">
        <w:rPr>
          <w:rFonts w:ascii="Arial" w:hAnsi="Arial" w:eastAsia="Arial" w:cs="Arial"/>
          <w:sz w:val="30"/>
          <w:szCs w:val="30"/>
        </w:rPr>
        <w:t xml:space="preserve">improving. </w:t>
      </w:r>
      <w:r w:rsidRPr="75D68000" w:rsidR="18E96408">
        <w:rPr>
          <w:rFonts w:ascii="Arial" w:hAnsi="Arial" w:eastAsia="Arial" w:cs="Arial"/>
          <w:sz w:val="30"/>
          <w:szCs w:val="30"/>
        </w:rPr>
        <w:t xml:space="preserve">According to </w:t>
      </w:r>
      <w:r w:rsidRPr="75D68000" w:rsidR="16C17E89">
        <w:rPr>
          <w:rFonts w:ascii="Arial" w:hAnsi="Arial" w:eastAsia="Arial" w:cs="Arial"/>
          <w:sz w:val="30"/>
          <w:szCs w:val="30"/>
        </w:rPr>
        <w:t>LinkedIn</w:t>
      </w:r>
      <w:r w:rsidRPr="75D68000" w:rsidR="1FEB3942">
        <w:rPr>
          <w:rFonts w:ascii="Arial" w:hAnsi="Arial" w:eastAsia="Arial" w:cs="Arial"/>
          <w:sz w:val="30"/>
          <w:szCs w:val="30"/>
        </w:rPr>
        <w:t xml:space="preserve">, the global data analytics market is </w:t>
      </w:r>
      <w:r w:rsidRPr="75D68000" w:rsidR="7148F699">
        <w:rPr>
          <w:rFonts w:ascii="Arial" w:hAnsi="Arial" w:eastAsia="Arial" w:cs="Arial"/>
          <w:sz w:val="30"/>
          <w:szCs w:val="30"/>
        </w:rPr>
        <w:t>at</w:t>
      </w:r>
      <w:r w:rsidRPr="75D68000" w:rsidR="727EB320">
        <w:rPr>
          <w:rFonts w:ascii="Arial" w:hAnsi="Arial" w:eastAsia="Arial" w:cs="Arial"/>
          <w:sz w:val="30"/>
          <w:szCs w:val="30"/>
        </w:rPr>
        <w:t xml:space="preserve"> </w:t>
      </w:r>
      <w:r w:rsidRPr="75D68000" w:rsidR="7148F699">
        <w:rPr>
          <w:rFonts w:ascii="Arial" w:hAnsi="Arial" w:eastAsia="Arial" w:cs="Arial"/>
          <w:sz w:val="30"/>
          <w:szCs w:val="30"/>
        </w:rPr>
        <w:t xml:space="preserve">a booming </w:t>
      </w:r>
      <w:r w:rsidRPr="75D68000" w:rsidR="1BFA4C06">
        <w:rPr>
          <w:rFonts w:ascii="Arial" w:hAnsi="Arial" w:eastAsia="Arial" w:cs="Arial"/>
          <w:sz w:val="30"/>
          <w:szCs w:val="30"/>
        </w:rPr>
        <w:t>30.7</w:t>
      </w:r>
      <w:r w:rsidRPr="75D68000" w:rsidR="727EB320">
        <w:rPr>
          <w:rFonts w:ascii="Arial" w:hAnsi="Arial" w:eastAsia="Arial" w:cs="Arial"/>
          <w:sz w:val="30"/>
          <w:szCs w:val="30"/>
        </w:rPr>
        <w:t xml:space="preserve">% </w:t>
      </w:r>
      <w:r w:rsidRPr="75D68000" w:rsidR="10E08DC4">
        <w:rPr>
          <w:rFonts w:ascii="Arial" w:hAnsi="Arial" w:eastAsia="Arial" w:cs="Arial"/>
          <w:sz w:val="30"/>
          <w:szCs w:val="30"/>
        </w:rPr>
        <w:lastRenderedPageBreak/>
        <w:t>growth rate</w:t>
      </w:r>
      <w:r w:rsidRPr="75D68000">
        <w:rPr>
          <w:rStyle w:val="FootnoteReference"/>
          <w:rFonts w:ascii="Arial" w:hAnsi="Arial" w:eastAsia="Arial" w:cs="Arial"/>
          <w:sz w:val="30"/>
          <w:szCs w:val="30"/>
        </w:rPr>
        <w:footnoteReference w:id="2"/>
      </w:r>
      <w:r w:rsidRPr="75D68000" w:rsidR="727EB320">
        <w:rPr>
          <w:rFonts w:ascii="Arial" w:hAnsi="Arial" w:eastAsia="Arial" w:cs="Arial"/>
          <w:sz w:val="30"/>
          <w:szCs w:val="30"/>
        </w:rPr>
        <w:t xml:space="preserve">, </w:t>
      </w:r>
      <w:r w:rsidRPr="75D68000" w:rsidR="5FAC68A6">
        <w:rPr>
          <w:rFonts w:ascii="Arial" w:hAnsi="Arial" w:eastAsia="Arial" w:cs="Arial"/>
          <w:sz w:val="30"/>
          <w:szCs w:val="30"/>
        </w:rPr>
        <w:t xml:space="preserve">securing </w:t>
      </w:r>
      <w:r w:rsidRPr="75D68000" w:rsidR="42C7D4BA">
        <w:rPr>
          <w:rFonts w:ascii="Arial" w:hAnsi="Arial" w:eastAsia="Arial" w:cs="Arial"/>
          <w:sz w:val="30"/>
          <w:szCs w:val="30"/>
        </w:rPr>
        <w:t>its</w:t>
      </w:r>
      <w:r w:rsidRPr="75D68000" w:rsidR="39A6B65A">
        <w:rPr>
          <w:rFonts w:ascii="Arial" w:hAnsi="Arial" w:eastAsia="Arial" w:cs="Arial"/>
          <w:sz w:val="30"/>
          <w:szCs w:val="30"/>
        </w:rPr>
        <w:t xml:space="preserve"> </w:t>
      </w:r>
      <w:r w:rsidRPr="75D68000" w:rsidR="5FAC68A6">
        <w:rPr>
          <w:rFonts w:ascii="Arial" w:hAnsi="Arial" w:eastAsia="Arial" w:cs="Arial"/>
          <w:sz w:val="30"/>
          <w:szCs w:val="30"/>
        </w:rPr>
        <w:t xml:space="preserve">position as one of the </w:t>
      </w:r>
      <w:r w:rsidRPr="75D68000" w:rsidR="1BCC4216">
        <w:rPr>
          <w:rFonts w:ascii="Arial" w:hAnsi="Arial" w:eastAsia="Arial" w:cs="Arial"/>
          <w:sz w:val="30"/>
          <w:szCs w:val="30"/>
        </w:rPr>
        <w:t>fastest growing industr</w:t>
      </w:r>
      <w:r w:rsidRPr="75D68000" w:rsidR="4A90B6AE">
        <w:rPr>
          <w:rFonts w:ascii="Arial" w:hAnsi="Arial" w:eastAsia="Arial" w:cs="Arial"/>
          <w:sz w:val="30"/>
          <w:szCs w:val="30"/>
        </w:rPr>
        <w:t xml:space="preserve">ies </w:t>
      </w:r>
      <w:r w:rsidRPr="75D68000" w:rsidR="388F034E">
        <w:rPr>
          <w:rFonts w:ascii="Arial" w:hAnsi="Arial" w:eastAsia="Arial" w:cs="Arial"/>
          <w:sz w:val="30"/>
          <w:szCs w:val="30"/>
        </w:rPr>
        <w:t>in Southeast Asia</w:t>
      </w:r>
      <w:r w:rsidRPr="75D68000">
        <w:rPr>
          <w:rStyle w:val="FootnoteReference"/>
          <w:rFonts w:ascii="Arial" w:hAnsi="Arial" w:eastAsia="Arial" w:cs="Arial"/>
          <w:sz w:val="30"/>
          <w:szCs w:val="30"/>
        </w:rPr>
        <w:footnoteReference w:id="3"/>
      </w:r>
      <w:r w:rsidRPr="75D68000" w:rsidR="4A90B6AE">
        <w:rPr>
          <w:rFonts w:ascii="Arial" w:hAnsi="Arial" w:eastAsia="Arial" w:cs="Arial"/>
          <w:sz w:val="30"/>
          <w:szCs w:val="30"/>
        </w:rPr>
        <w:t xml:space="preserve">. </w:t>
      </w:r>
      <w:r w:rsidRPr="75D68000" w:rsidR="5734EB38">
        <w:rPr>
          <w:rFonts w:ascii="Arial" w:hAnsi="Arial" w:eastAsia="Arial" w:cs="Arial"/>
          <w:sz w:val="30"/>
          <w:szCs w:val="30"/>
        </w:rPr>
        <w:t xml:space="preserve">To gain this important skillset, we have selected the </w:t>
      </w:r>
      <w:r w:rsidRPr="75D68000" w:rsidR="25F7F84C">
        <w:rPr>
          <w:rFonts w:ascii="Arial" w:hAnsi="Arial" w:eastAsia="Arial" w:cs="Arial"/>
          <w:i/>
          <w:sz w:val="30"/>
          <w:szCs w:val="30"/>
        </w:rPr>
        <w:t xml:space="preserve">Foundations: Data, Data, Everywhere </w:t>
      </w:r>
      <w:r w:rsidRPr="75D68000" w:rsidR="47745321">
        <w:rPr>
          <w:rFonts w:ascii="Arial" w:hAnsi="Arial" w:eastAsia="Arial" w:cs="Arial"/>
          <w:sz w:val="30"/>
          <w:szCs w:val="30"/>
        </w:rPr>
        <w:t>Course</w:t>
      </w:r>
      <w:r w:rsidRPr="75D68000" w:rsidR="0E293086">
        <w:rPr>
          <w:rFonts w:ascii="Arial" w:hAnsi="Arial" w:eastAsia="Arial" w:cs="Arial"/>
          <w:sz w:val="30"/>
          <w:szCs w:val="30"/>
        </w:rPr>
        <w:t xml:space="preserve">. </w:t>
      </w:r>
      <w:r w:rsidRPr="75D68000" w:rsidR="68FBD4DD">
        <w:rPr>
          <w:rFonts w:ascii="Arial" w:hAnsi="Arial" w:eastAsia="Arial" w:cs="Arial"/>
          <w:sz w:val="30"/>
          <w:szCs w:val="30"/>
        </w:rPr>
        <w:t xml:space="preserve">This </w:t>
      </w:r>
      <w:r w:rsidRPr="75D68000" w:rsidR="1B22D0CA">
        <w:rPr>
          <w:rFonts w:ascii="Arial" w:hAnsi="Arial" w:eastAsia="Arial" w:cs="Arial"/>
          <w:sz w:val="30"/>
          <w:szCs w:val="30"/>
        </w:rPr>
        <w:t xml:space="preserve">course </w:t>
      </w:r>
      <w:r w:rsidRPr="75D68000" w:rsidR="68FBD4DD">
        <w:rPr>
          <w:rFonts w:ascii="Arial" w:hAnsi="Arial" w:eastAsia="Arial" w:cs="Arial"/>
          <w:sz w:val="30"/>
          <w:szCs w:val="30"/>
        </w:rPr>
        <w:t xml:space="preserve">is part of the </w:t>
      </w:r>
      <w:r w:rsidRPr="75D68000" w:rsidR="76DFFA25">
        <w:rPr>
          <w:rFonts w:ascii="Arial" w:hAnsi="Arial" w:eastAsia="Arial" w:cs="Arial"/>
          <w:sz w:val="30"/>
          <w:szCs w:val="30"/>
        </w:rPr>
        <w:t>Google Data Analytics Professional</w:t>
      </w:r>
      <w:r w:rsidRPr="75D68000" w:rsidR="15A5B433">
        <w:rPr>
          <w:rFonts w:ascii="Arial" w:hAnsi="Arial" w:eastAsia="Arial" w:cs="Arial"/>
          <w:sz w:val="30"/>
          <w:szCs w:val="30"/>
        </w:rPr>
        <w:t xml:space="preserve"> Certificate. </w:t>
      </w:r>
    </w:p>
    <w:p w:rsidR="55B076D7" w:rsidP="2464F6EC" w:rsidRDefault="3D5ED3A1" w14:paraId="138B3AB4" w14:textId="7B34AC01">
      <w:pPr>
        <w:spacing w:line="276" w:lineRule="auto"/>
        <w:jc w:val="center"/>
        <w:rPr>
          <w:rFonts w:ascii="Arial" w:hAnsi="Arial" w:eastAsia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C462325" wp14:editId="19A028C6">
            <wp:extent cx="5716432" cy="2262754"/>
            <wp:effectExtent l="0" t="0" r="0" b="0"/>
            <wp:docPr id="710393952" name="Picture 71039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2" cy="22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E69A2" w:rsidP="2464F6EC" w:rsidRDefault="2D2E69A2" w14:paraId="5AAC38FA" w14:textId="62BEB0C3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You need to achieve </w:t>
      </w:r>
      <w:r w:rsidRPr="75D68000" w:rsidR="771CAA82">
        <w:rPr>
          <w:rFonts w:ascii="Arial" w:hAnsi="Arial" w:eastAsia="Arial" w:cs="Arial"/>
          <w:sz w:val="30"/>
          <w:szCs w:val="30"/>
        </w:rPr>
        <w:t xml:space="preserve">this </w:t>
      </w:r>
      <w:r w:rsidRPr="75D68000">
        <w:rPr>
          <w:rFonts w:ascii="Arial" w:hAnsi="Arial" w:eastAsia="Arial" w:cs="Arial"/>
          <w:sz w:val="30"/>
          <w:szCs w:val="30"/>
        </w:rPr>
        <w:t xml:space="preserve">certificate during TAP in addition to another certificate from one of the other 5 learning tracks.  </w:t>
      </w:r>
    </w:p>
    <w:p w:rsidR="2464F6EC" w:rsidP="2464F6EC" w:rsidRDefault="2464F6EC" w14:paraId="6AC81F79" w14:textId="19B0DFB0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08252807" w:rsidP="2464F6EC" w:rsidRDefault="08252807" w14:paraId="6F17EC63" w14:textId="5945DAED">
      <w:pPr>
        <w:rPr>
          <w:rFonts w:ascii="Arial" w:hAnsi="Arial" w:eastAsia="Arial" w:cs="Arial"/>
          <w:b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 xml:space="preserve">Why this course? </w:t>
      </w:r>
    </w:p>
    <w:p w:rsidR="3F568806" w:rsidP="2464F6EC" w:rsidRDefault="3F568806" w14:paraId="2C23DAC7" w14:textId="1B15E423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Google has been building products, platforms, and services that help people and businesses grow over the past 20 years. </w:t>
      </w:r>
      <w:r w:rsidRPr="75D68000" w:rsidR="03E4FD56">
        <w:rPr>
          <w:rFonts w:ascii="Arial" w:hAnsi="Arial" w:eastAsia="Arial" w:cs="Arial"/>
          <w:sz w:val="30"/>
          <w:szCs w:val="30"/>
        </w:rPr>
        <w:t>The</w:t>
      </w:r>
      <w:r w:rsidRPr="75D68000" w:rsidR="68DCDC1E">
        <w:rPr>
          <w:rFonts w:ascii="Arial" w:hAnsi="Arial" w:eastAsia="Arial" w:cs="Arial"/>
          <w:sz w:val="30"/>
          <w:szCs w:val="30"/>
        </w:rPr>
        <w:t xml:space="preserve"> </w:t>
      </w:r>
      <w:r w:rsidRPr="75D68000">
        <w:rPr>
          <w:rFonts w:ascii="Arial" w:hAnsi="Arial" w:eastAsia="Arial" w:cs="Arial"/>
          <w:sz w:val="30"/>
          <w:szCs w:val="30"/>
        </w:rPr>
        <w:t>course</w:t>
      </w:r>
      <w:r w:rsidRPr="75D68000" w:rsidR="4443BE33">
        <w:rPr>
          <w:rFonts w:ascii="Arial" w:hAnsi="Arial" w:eastAsia="Arial" w:cs="Arial"/>
          <w:sz w:val="30"/>
          <w:szCs w:val="30"/>
        </w:rPr>
        <w:t xml:space="preserve"> is </w:t>
      </w:r>
      <w:r w:rsidRPr="75D68000">
        <w:rPr>
          <w:rFonts w:ascii="Arial" w:hAnsi="Arial" w:eastAsia="Arial" w:cs="Arial"/>
          <w:sz w:val="30"/>
          <w:szCs w:val="30"/>
        </w:rPr>
        <w:t xml:space="preserve">taught by google trainers and can be completed </w:t>
      </w:r>
      <w:r w:rsidRPr="75D68000" w:rsidR="21FD253C">
        <w:rPr>
          <w:rFonts w:ascii="Arial" w:hAnsi="Arial" w:eastAsia="Arial" w:cs="Arial"/>
          <w:sz w:val="30"/>
          <w:szCs w:val="30"/>
        </w:rPr>
        <w:t xml:space="preserve">within </w:t>
      </w:r>
      <w:r w:rsidRPr="75D68000" w:rsidR="76A7B1E6">
        <w:rPr>
          <w:rFonts w:ascii="Arial" w:hAnsi="Arial" w:eastAsia="Arial" w:cs="Arial"/>
          <w:sz w:val="30"/>
          <w:szCs w:val="30"/>
        </w:rPr>
        <w:t>22</w:t>
      </w:r>
      <w:r w:rsidRPr="75D68000" w:rsidR="21FD253C">
        <w:rPr>
          <w:rFonts w:ascii="Arial" w:hAnsi="Arial" w:eastAsia="Arial" w:cs="Arial"/>
          <w:sz w:val="30"/>
          <w:szCs w:val="30"/>
        </w:rPr>
        <w:t xml:space="preserve"> hours</w:t>
      </w:r>
      <w:r w:rsidRPr="75D68000">
        <w:rPr>
          <w:rFonts w:ascii="Arial" w:hAnsi="Arial" w:eastAsia="Arial" w:cs="Arial"/>
          <w:sz w:val="30"/>
          <w:szCs w:val="30"/>
        </w:rPr>
        <w:t xml:space="preserve">. </w:t>
      </w:r>
      <w:r w:rsidRPr="75D68000" w:rsidR="0C89A188">
        <w:rPr>
          <w:rFonts w:ascii="Arial" w:hAnsi="Arial" w:eastAsia="Arial" w:cs="Arial"/>
          <w:sz w:val="30"/>
          <w:szCs w:val="30"/>
        </w:rPr>
        <w:t>It is</w:t>
      </w:r>
      <w:r w:rsidRPr="75D68000">
        <w:rPr>
          <w:rFonts w:ascii="Arial" w:hAnsi="Arial" w:eastAsia="Arial" w:cs="Arial"/>
          <w:sz w:val="30"/>
          <w:szCs w:val="30"/>
        </w:rPr>
        <w:t xml:space="preserve"> 100% on</w:t>
      </w:r>
      <w:r w:rsidRPr="75D68000" w:rsidR="6F22C4FC">
        <w:rPr>
          <w:rFonts w:ascii="Arial" w:hAnsi="Arial" w:eastAsia="Arial" w:cs="Arial"/>
          <w:sz w:val="30"/>
          <w:szCs w:val="30"/>
        </w:rPr>
        <w:t xml:space="preserve">line and more than </w:t>
      </w:r>
      <w:r w:rsidRPr="75D68000" w:rsidR="1CFFEF36">
        <w:rPr>
          <w:rFonts w:ascii="Arial" w:hAnsi="Arial" w:eastAsia="Arial" w:cs="Arial"/>
          <w:sz w:val="30"/>
          <w:szCs w:val="30"/>
        </w:rPr>
        <w:t>5</w:t>
      </w:r>
      <w:r w:rsidRPr="75D68000" w:rsidR="484C5D71">
        <w:rPr>
          <w:rFonts w:ascii="Arial" w:hAnsi="Arial" w:eastAsia="Arial" w:cs="Arial"/>
          <w:sz w:val="30"/>
          <w:szCs w:val="30"/>
        </w:rPr>
        <w:t>,</w:t>
      </w:r>
      <w:r w:rsidRPr="75D68000" w:rsidR="3B73F96A">
        <w:rPr>
          <w:rFonts w:ascii="Arial" w:hAnsi="Arial" w:eastAsia="Arial" w:cs="Arial"/>
          <w:sz w:val="30"/>
          <w:szCs w:val="30"/>
        </w:rPr>
        <w:t>7</w:t>
      </w:r>
      <w:r w:rsidRPr="75D68000" w:rsidR="484C5D71">
        <w:rPr>
          <w:rFonts w:ascii="Arial" w:hAnsi="Arial" w:eastAsia="Arial" w:cs="Arial"/>
          <w:sz w:val="30"/>
          <w:szCs w:val="30"/>
        </w:rPr>
        <w:t>00,000</w:t>
      </w:r>
      <w:r w:rsidRPr="75D68000" w:rsidR="6F22C4FC">
        <w:rPr>
          <w:rFonts w:ascii="Arial" w:hAnsi="Arial" w:eastAsia="Arial" w:cs="Arial"/>
          <w:sz w:val="30"/>
          <w:szCs w:val="30"/>
        </w:rPr>
        <w:t xml:space="preserve"> learners have already enrolled</w:t>
      </w:r>
      <w:r w:rsidRPr="75D68000" w:rsidR="36EE18AA">
        <w:rPr>
          <w:rFonts w:ascii="Arial" w:hAnsi="Arial" w:eastAsia="Arial" w:cs="Arial"/>
          <w:sz w:val="30"/>
          <w:szCs w:val="30"/>
        </w:rPr>
        <w:t xml:space="preserve"> and benefitted from these courses</w:t>
      </w:r>
      <w:r w:rsidRPr="75D68000" w:rsidR="6F22C4FC">
        <w:rPr>
          <w:rFonts w:ascii="Arial" w:hAnsi="Arial" w:eastAsia="Arial" w:cs="Arial"/>
          <w:sz w:val="30"/>
          <w:szCs w:val="30"/>
        </w:rPr>
        <w:t xml:space="preserve">. </w:t>
      </w:r>
    </w:p>
    <w:p w:rsidR="2464F6EC" w:rsidP="2464F6EC" w:rsidRDefault="2464F6EC" w14:paraId="1A5A4A79" w14:textId="2D855CCA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4263CE01" w:rsidP="2464F6EC" w:rsidRDefault="4263CE01" w14:paraId="748B5E76" w14:textId="37250913">
      <w:pPr>
        <w:spacing w:line="276" w:lineRule="auto"/>
        <w:rPr>
          <w:rFonts w:ascii="Arial" w:hAnsi="Arial" w:eastAsia="Arial" w:cs="Arial"/>
          <w:b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lastRenderedPageBreak/>
        <w:t xml:space="preserve">How do I earn a certificate of completion? </w:t>
      </w:r>
    </w:p>
    <w:p w:rsidR="5E94B39D" w:rsidP="2464F6EC" w:rsidRDefault="5E94B39D" w14:paraId="2F9D763B" w14:textId="6380A420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>A</w:t>
      </w:r>
      <w:r w:rsidRPr="75D68000" w:rsidR="44C7F055">
        <w:rPr>
          <w:rFonts w:ascii="Arial" w:hAnsi="Arial" w:eastAsia="Arial" w:cs="Arial"/>
          <w:sz w:val="30"/>
          <w:szCs w:val="30"/>
        </w:rPr>
        <w:t xml:space="preserve"> d</w:t>
      </w:r>
      <w:r w:rsidRPr="75D68000" w:rsidR="0CDF3D92">
        <w:rPr>
          <w:rFonts w:ascii="Arial" w:hAnsi="Arial" w:eastAsia="Arial" w:cs="Arial"/>
          <w:sz w:val="30"/>
          <w:szCs w:val="30"/>
        </w:rPr>
        <w:t>ownloadable certificate</w:t>
      </w:r>
      <w:r w:rsidRPr="75D68000" w:rsidR="7709D428">
        <w:rPr>
          <w:rFonts w:ascii="Arial" w:hAnsi="Arial" w:eastAsia="Arial" w:cs="Arial"/>
          <w:sz w:val="30"/>
          <w:szCs w:val="30"/>
        </w:rPr>
        <w:t xml:space="preserve"> will be offered</w:t>
      </w:r>
      <w:r w:rsidRPr="75D68000" w:rsidR="0CDF3D92">
        <w:rPr>
          <w:rFonts w:ascii="Arial" w:hAnsi="Arial" w:eastAsia="Arial" w:cs="Arial"/>
          <w:sz w:val="30"/>
          <w:szCs w:val="30"/>
        </w:rPr>
        <w:t xml:space="preserve"> upon completion of all requirements. </w:t>
      </w:r>
    </w:p>
    <w:p w:rsidR="2464F6EC" w:rsidP="2464F6EC" w:rsidRDefault="2464F6EC" w14:paraId="0CF1DB7C" w14:textId="22E914EE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0CDF3D92" w:rsidP="2464F6EC" w:rsidRDefault="0CDF3D92" w14:paraId="731B4863" w14:textId="1AA84FBA">
      <w:pPr>
        <w:spacing w:line="276" w:lineRule="auto"/>
        <w:rPr>
          <w:rFonts w:ascii="Arial" w:hAnsi="Arial" w:eastAsia="Arial" w:cs="Arial"/>
          <w:b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 xml:space="preserve">What about the Fees? </w:t>
      </w:r>
    </w:p>
    <w:p w:rsidR="393C86E5" w:rsidP="0F25B07A" w:rsidRDefault="393C86E5" w14:paraId="39340C35" w14:textId="1DEBBBB8">
      <w:pPr>
        <w:pStyle w:val="Normal"/>
        <w:spacing w:after="160" w:line="259" w:lineRule="auto"/>
        <w:rPr>
          <w:rFonts w:ascii="Arial" w:hAnsi="Arial" w:eastAsia="Arial" w:cs="Arial"/>
          <w:sz w:val="30"/>
          <w:szCs w:val="30"/>
        </w:rPr>
      </w:pPr>
      <w:r w:rsidRPr="0F25B07A" w:rsidR="393C86E5">
        <w:rPr>
          <w:rFonts w:ascii="Arial" w:hAnsi="Arial" w:eastAsia="Arial" w:cs="Arial"/>
          <w:sz w:val="30"/>
          <w:szCs w:val="30"/>
        </w:rPr>
        <w:t xml:space="preserve">Google’s course on Coursera costs </w:t>
      </w:r>
      <w:r w:rsidRPr="0F25B07A" w:rsidR="58C32135">
        <w:rPr>
          <w:rFonts w:ascii="Arial" w:hAnsi="Arial" w:eastAsia="Arial" w:cs="Arial"/>
          <w:sz w:val="30"/>
          <w:szCs w:val="30"/>
        </w:rPr>
        <w:t xml:space="preserve">$49 USD/month. </w:t>
      </w:r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You </w:t>
      </w:r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>will need to pay first</w:t>
      </w:r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when starting the course. Once you obtain the certificate upon completion, </w:t>
      </w:r>
      <w:proofErr w:type="spellStart"/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TomoWork</w:t>
      </w:r>
      <w:proofErr w:type="spellEnd"/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will </w:t>
      </w:r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>fully reimburse</w:t>
      </w:r>
      <w:r w:rsidRPr="0F25B07A" w:rsidR="336F9F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the amount you paid. </w:t>
      </w:r>
      <w:r w:rsidRPr="0F25B07A" w:rsidR="336F9F35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2464F6EC" w:rsidP="2464F6EC" w:rsidRDefault="2464F6EC" w14:paraId="613A36E6" w14:textId="2CEC2D34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36964CB3" w:rsidP="2464F6EC" w:rsidRDefault="36964CB3" w14:paraId="1CF5D0D9" w14:textId="73C9F2CC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For any questions regarding your learning track, please ask your TAP Programme Director. Good luck on your learning Journey! </w:t>
      </w:r>
    </w:p>
    <w:p w:rsidR="2F085581" w:rsidP="2F085581" w:rsidRDefault="2F085581" w14:paraId="6F516421" w14:textId="3E28B285">
      <w:pPr>
        <w:spacing w:line="276" w:lineRule="auto"/>
        <w:rPr>
          <w:rFonts w:ascii="Arial" w:hAnsi="Arial" w:eastAsia="Arial" w:cs="Arial"/>
          <w:sz w:val="30"/>
          <w:szCs w:val="30"/>
        </w:rPr>
      </w:pPr>
    </w:p>
    <w:p w:rsidR="36964CB3" w:rsidP="2464F6EC" w:rsidRDefault="36964CB3" w14:paraId="184CD11B" w14:textId="2C929671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b/>
          <w:sz w:val="30"/>
          <w:szCs w:val="30"/>
        </w:rPr>
        <w:t>TAP Co-Programme Directors</w:t>
      </w:r>
      <w:r w:rsidRPr="75D68000">
        <w:rPr>
          <w:rFonts w:ascii="Arial" w:hAnsi="Arial" w:eastAsia="Arial" w:cs="Arial"/>
          <w:sz w:val="30"/>
          <w:szCs w:val="30"/>
        </w:rPr>
        <w:t xml:space="preserve"> </w:t>
      </w:r>
    </w:p>
    <w:p w:rsidR="36964CB3" w:rsidP="2464F6EC" w:rsidRDefault="36964CB3" w14:paraId="18D83A0C" w14:textId="4F8559C2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Mr Mike </w:t>
      </w:r>
      <w:proofErr w:type="spellStart"/>
      <w:r w:rsidRPr="75D68000">
        <w:rPr>
          <w:rFonts w:ascii="Arial" w:hAnsi="Arial" w:eastAsia="Arial" w:cs="Arial"/>
          <w:sz w:val="30"/>
          <w:szCs w:val="30"/>
        </w:rPr>
        <w:t>Momota</w:t>
      </w:r>
      <w:proofErr w:type="spellEnd"/>
      <w:r w:rsidRPr="75D68000">
        <w:rPr>
          <w:rFonts w:ascii="Arial" w:hAnsi="Arial" w:eastAsia="Arial" w:cs="Arial"/>
          <w:sz w:val="30"/>
          <w:szCs w:val="30"/>
        </w:rPr>
        <w:t xml:space="preserve"> </w:t>
      </w:r>
    </w:p>
    <w:p w:rsidR="36964CB3" w:rsidP="2464F6EC" w:rsidRDefault="36964CB3" w14:paraId="31ED0B29" w14:textId="7E8F428D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E: </w:t>
      </w:r>
      <w:hyperlink r:id="rId11">
        <w:r w:rsidRPr="75D68000">
          <w:rPr>
            <w:rStyle w:val="Hyperlink"/>
            <w:rFonts w:ascii="Arial" w:hAnsi="Arial" w:eastAsia="Arial" w:cs="Arial"/>
            <w:sz w:val="30"/>
            <w:szCs w:val="30"/>
          </w:rPr>
          <w:t>mike@tomowork.org</w:t>
        </w:r>
      </w:hyperlink>
      <w:r w:rsidRPr="75D68000">
        <w:rPr>
          <w:rFonts w:ascii="Arial" w:hAnsi="Arial" w:eastAsia="Arial" w:cs="Arial"/>
          <w:sz w:val="30"/>
          <w:szCs w:val="30"/>
        </w:rPr>
        <w:t xml:space="preserve"> </w:t>
      </w:r>
    </w:p>
    <w:p w:rsidR="36964CB3" w:rsidP="2464F6EC" w:rsidRDefault="36964CB3" w14:paraId="65E77A65" w14:textId="6AA61029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 </w:t>
      </w:r>
    </w:p>
    <w:p w:rsidR="36964CB3" w:rsidP="2464F6EC" w:rsidRDefault="36964CB3" w14:paraId="178BE806" w14:textId="0CDE992A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Mr William Wong </w:t>
      </w:r>
    </w:p>
    <w:p w:rsidR="2464F6EC" w:rsidP="75D68000" w:rsidRDefault="36964CB3" w14:paraId="318C59B1" w14:textId="067C89CD">
      <w:pPr>
        <w:spacing w:line="276" w:lineRule="auto"/>
        <w:rPr>
          <w:rFonts w:ascii="Arial" w:hAnsi="Arial" w:eastAsia="Arial" w:cs="Arial"/>
          <w:sz w:val="30"/>
          <w:szCs w:val="30"/>
        </w:rPr>
      </w:pPr>
      <w:r w:rsidRPr="75D68000">
        <w:rPr>
          <w:rFonts w:ascii="Arial" w:hAnsi="Arial" w:eastAsia="Arial" w:cs="Arial"/>
          <w:sz w:val="30"/>
          <w:szCs w:val="30"/>
        </w:rPr>
        <w:t xml:space="preserve">E: </w:t>
      </w:r>
      <w:hyperlink r:id="rId12">
        <w:r w:rsidRPr="75D68000" w:rsidR="1A3CBC05">
          <w:rPr>
            <w:rStyle w:val="Hyperlink"/>
            <w:rFonts w:ascii="Arial" w:hAnsi="Arial" w:eastAsia="Arial" w:cs="Arial"/>
            <w:sz w:val="30"/>
            <w:szCs w:val="30"/>
          </w:rPr>
          <w:t>william@tomowork.org</w:t>
        </w:r>
      </w:hyperlink>
    </w:p>
    <w:p w:rsidR="2464F6EC" w:rsidP="5D1C83B5" w:rsidRDefault="2464F6EC" w14:paraId="08D5516B" w14:textId="6AB49815">
      <w:pPr>
        <w:spacing w:line="276" w:lineRule="auto"/>
        <w:rPr>
          <w:rFonts w:eastAsiaTheme="minorEastAsia"/>
          <w:sz w:val="32"/>
          <w:szCs w:val="32"/>
        </w:rPr>
      </w:pPr>
    </w:p>
    <w:sectPr w:rsidR="2464F6EC">
      <w:headerReference w:type="default" r:id="rId13"/>
      <w:footerReference w:type="default" r:id="rId14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E2FDB" w14:paraId="1A0D451B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6E2FDB" w14:paraId="281CCF9B" w14:textId="77777777">
      <w:pPr>
        <w:spacing w:after="0" w:line="240" w:lineRule="auto"/>
      </w:pPr>
      <w:r>
        <w:continuationSeparator/>
      </w:r>
    </w:p>
  </w:endnote>
  <w:endnote w:type="continuationNotice" w:id="1">
    <w:p w:rsidR="004E32C5" w:rsidRDefault="004E32C5" w14:paraId="66264A5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2DEA3B" w:rsidTr="372DEA3B" w14:paraId="6DEDE221" w14:textId="77777777">
      <w:trPr>
        <w:trHeight w:val="300"/>
      </w:trPr>
      <w:tc>
        <w:tcPr>
          <w:tcW w:w="3005" w:type="dxa"/>
        </w:tcPr>
        <w:p w:rsidR="372DEA3B" w:rsidP="372DEA3B" w:rsidRDefault="372DEA3B" w14:paraId="085E5D5B" w14:textId="1A1B4DAF">
          <w:pPr>
            <w:tabs>
              <w:tab w:val="center" w:pos="4513"/>
              <w:tab w:val="right" w:pos="9026"/>
            </w:tabs>
            <w:rPr>
              <w:rFonts w:ascii="Century Gothic" w:hAnsi="Century Gothic" w:eastAsia="Century Gothic" w:cs="Century Gothic"/>
              <w:sz w:val="30"/>
              <w:szCs w:val="30"/>
            </w:rPr>
          </w:pPr>
          <w:r w:rsidRPr="372DEA3B">
            <w:rPr>
              <w:rFonts w:ascii="Century Gothic" w:hAnsi="Century Gothic" w:eastAsia="Century Gothic" w:cs="Century Gothic"/>
              <w:color w:val="000000" w:themeColor="text1"/>
              <w:sz w:val="30"/>
              <w:szCs w:val="30"/>
            </w:rPr>
            <w:t xml:space="preserve">  &lt; # &gt; </w:t>
          </w:r>
          <w:r w:rsidRPr="372DEA3B">
            <w:rPr>
              <w:rFonts w:ascii="Century Gothic" w:hAnsi="Century Gothic" w:eastAsia="Century Gothic" w:cs="Century Gothic"/>
              <w:sz w:val="30"/>
              <w:szCs w:val="30"/>
            </w:rPr>
            <w:t xml:space="preserve"> </w:t>
          </w:r>
        </w:p>
      </w:tc>
      <w:tc>
        <w:tcPr>
          <w:tcW w:w="3005" w:type="dxa"/>
        </w:tcPr>
        <w:p w:rsidR="372DEA3B" w:rsidP="372DEA3B" w:rsidRDefault="372DEA3B" w14:paraId="62B4B9EE" w14:textId="5F6802C5">
          <w:pPr>
            <w:pStyle w:val="Header"/>
            <w:jc w:val="center"/>
          </w:pPr>
        </w:p>
      </w:tc>
      <w:tc>
        <w:tcPr>
          <w:tcW w:w="3005" w:type="dxa"/>
        </w:tcPr>
        <w:p w:rsidR="372DEA3B" w:rsidP="372DEA3B" w:rsidRDefault="372DEA3B" w14:paraId="3E20722B" w14:textId="2DCF7ECF">
          <w:pPr>
            <w:pStyle w:val="Header"/>
            <w:ind w:right="-115"/>
            <w:jc w:val="right"/>
          </w:pPr>
        </w:p>
      </w:tc>
    </w:tr>
  </w:tbl>
  <w:p w:rsidR="372DEA3B" w:rsidP="372DEA3B" w:rsidRDefault="372DEA3B" w14:paraId="17A99842" w14:textId="197FE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2464F6EC" w:rsidRDefault="2464F6EC" w14:paraId="6FD02221" w14:textId="77777777">
      <w:pPr>
        <w:spacing w:after="0" w:line="240" w:lineRule="auto"/>
      </w:pPr>
      <w:r>
        <w:separator/>
      </w:r>
    </w:p>
  </w:footnote>
  <w:footnote w:type="continuationSeparator" w:id="0">
    <w:p w:rsidR="2464F6EC" w:rsidRDefault="2464F6EC" w14:paraId="6832B1C6" w14:textId="77777777">
      <w:pPr>
        <w:spacing w:after="0" w:line="240" w:lineRule="auto"/>
      </w:pPr>
      <w:r>
        <w:continuationSeparator/>
      </w:r>
    </w:p>
  </w:footnote>
  <w:footnote w:type="continuationNotice" w:id="1">
    <w:p w:rsidR="004E32C5" w:rsidRDefault="004E32C5" w14:paraId="27C5B168" w14:textId="77777777">
      <w:pPr>
        <w:spacing w:after="0" w:line="240" w:lineRule="auto"/>
      </w:pPr>
    </w:p>
  </w:footnote>
  <w:footnote w:id="2">
    <w:p w:rsidR="2464F6EC" w:rsidP="2464F6EC" w:rsidRDefault="2464F6EC" w14:paraId="63C9AF76" w14:textId="1274CA4D">
      <w:pPr>
        <w:pStyle w:val="FootnoteText"/>
      </w:pPr>
      <w:r w:rsidRPr="2464F6EC">
        <w:rPr>
          <w:rStyle w:val="FootnoteReference"/>
        </w:rPr>
        <w:footnoteRef/>
      </w:r>
      <w:r>
        <w:t xml:space="preserve"> </w:t>
      </w:r>
      <w:proofErr w:type="spellStart"/>
      <w:r>
        <w:t>Kolhe</w:t>
      </w:r>
      <w:proofErr w:type="spellEnd"/>
      <w:r>
        <w:t xml:space="preserve">, Harsh. “At a Booming 30.7% Growth Rate: Data Analytics Market Generating Revenue of $346.24 Billion by 2030.” LinkedIn. Sep 22, 2022. </w:t>
      </w:r>
      <w:hyperlink r:id="rId1">
        <w:r w:rsidRPr="2464F6EC">
          <w:rPr>
            <w:rStyle w:val="Hyperlink"/>
          </w:rPr>
          <w:t>https://www.linkedin.com/pulse/booming-307-growth-rate-data-analytics-market-generating-harsh-k-/</w:t>
        </w:r>
      </w:hyperlink>
      <w:r>
        <w:t>. Accessed Feb 28, 2023.</w:t>
      </w:r>
    </w:p>
    <w:p w:rsidR="2464F6EC" w:rsidP="2464F6EC" w:rsidRDefault="2464F6EC" w14:paraId="3E25E5B9" w14:textId="5BFBD112">
      <w:pPr>
        <w:pStyle w:val="FootnoteText"/>
      </w:pPr>
    </w:p>
  </w:footnote>
  <w:footnote w:id="3">
    <w:p w:rsidR="2464F6EC" w:rsidP="2464F6EC" w:rsidRDefault="2464F6EC" w14:paraId="08808F6E" w14:textId="4A7763AD">
      <w:pPr>
        <w:pStyle w:val="FootnoteText"/>
      </w:pPr>
      <w:r w:rsidRPr="2464F6EC">
        <w:rPr>
          <w:rStyle w:val="FootnoteReference"/>
        </w:rPr>
        <w:footnoteRef/>
      </w:r>
      <w:r>
        <w:t xml:space="preserve"> Gilchrist, Karen. “These Are the Fastest Growing Jobs in Southeast Asia, According to </w:t>
      </w:r>
      <w:proofErr w:type="spellStart"/>
      <w:r>
        <w:t>Linkedin</w:t>
      </w:r>
      <w:proofErr w:type="spellEnd"/>
      <w:r>
        <w:t xml:space="preserve">.” CNBC. Feb 8, 2021. </w:t>
      </w:r>
      <w:hyperlink r:id="rId2">
        <w:r w:rsidRPr="2464F6EC">
          <w:rPr>
            <w:rStyle w:val="Hyperlink"/>
          </w:rPr>
          <w:t>https://www.cnbc.com/2021/01/19/job-opportunities-fast-growing-industries-in-southeast-asia-linkedin.html</w:t>
        </w:r>
      </w:hyperlink>
      <w:r>
        <w:t>. Accessed Feb 28, 2023.</w:t>
      </w:r>
    </w:p>
    <w:p w:rsidR="2464F6EC" w:rsidP="2464F6EC" w:rsidRDefault="2464F6EC" w14:paraId="754B44A2" w14:textId="12AA3DA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2DEA3B" w:rsidTr="372DEA3B" w14:paraId="55AE22F4" w14:textId="77777777">
      <w:trPr>
        <w:trHeight w:val="300"/>
      </w:trPr>
      <w:tc>
        <w:tcPr>
          <w:tcW w:w="3005" w:type="dxa"/>
        </w:tcPr>
        <w:p w:rsidR="372DEA3B" w:rsidP="372DEA3B" w:rsidRDefault="372DEA3B" w14:paraId="72CF623C" w14:textId="361081F4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D9C42D4" wp14:editId="1980E229">
                <wp:extent cx="1047750" cy="590550"/>
                <wp:effectExtent l="0" t="0" r="0" b="0"/>
                <wp:docPr id="578065499" name="Picture 578065499" descr="抽象, 挿絵 が含まれている画像&#10;&#10;自動的に生成された説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372DEA3B" w:rsidP="372DEA3B" w:rsidRDefault="372DEA3B" w14:paraId="2F9C361C" w14:textId="4EA10498">
          <w:pPr>
            <w:pStyle w:val="Header"/>
            <w:jc w:val="center"/>
          </w:pPr>
        </w:p>
      </w:tc>
      <w:tc>
        <w:tcPr>
          <w:tcW w:w="3005" w:type="dxa"/>
        </w:tcPr>
        <w:p w:rsidR="372DEA3B" w:rsidP="372DEA3B" w:rsidRDefault="372DEA3B" w14:paraId="1D7C64EC" w14:textId="00286877">
          <w:pPr>
            <w:pStyle w:val="Header"/>
            <w:ind w:right="-115"/>
            <w:jc w:val="right"/>
          </w:pPr>
        </w:p>
      </w:tc>
    </w:tr>
  </w:tbl>
  <w:p w:rsidR="372DEA3B" w:rsidP="372DEA3B" w:rsidRDefault="372DEA3B" w14:paraId="420B6040" w14:textId="35AFCC2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269eb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0d1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401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F09537"/>
    <w:multiLevelType w:val="hybridMultilevel"/>
    <w:tmpl w:val="A77E0CDE"/>
    <w:lvl w:ilvl="0" w:tplc="E08C03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1837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D482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3EF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200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3C61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D62D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FAD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91B98"/>
    <w:multiLevelType w:val="hybridMultilevel"/>
    <w:tmpl w:val="952E847C"/>
    <w:lvl w:ilvl="0" w:tplc="0C326086">
      <w:start w:val="1"/>
      <w:numFmt w:val="decimal"/>
      <w:lvlText w:val="%1."/>
      <w:lvlJc w:val="left"/>
      <w:pPr>
        <w:ind w:left="720" w:hanging="360"/>
      </w:pPr>
    </w:lvl>
    <w:lvl w:ilvl="1" w:tplc="545482BC">
      <w:start w:val="1"/>
      <w:numFmt w:val="lowerLetter"/>
      <w:lvlText w:val="%2."/>
      <w:lvlJc w:val="left"/>
      <w:pPr>
        <w:ind w:left="1440" w:hanging="360"/>
      </w:pPr>
    </w:lvl>
    <w:lvl w:ilvl="2" w:tplc="E0D87612">
      <w:start w:val="1"/>
      <w:numFmt w:val="lowerRoman"/>
      <w:lvlText w:val="%3."/>
      <w:lvlJc w:val="right"/>
      <w:pPr>
        <w:ind w:left="2160" w:hanging="180"/>
      </w:pPr>
    </w:lvl>
    <w:lvl w:ilvl="3" w:tplc="26E479B6">
      <w:start w:val="1"/>
      <w:numFmt w:val="decimal"/>
      <w:lvlText w:val="%4."/>
      <w:lvlJc w:val="left"/>
      <w:pPr>
        <w:ind w:left="2880" w:hanging="360"/>
      </w:pPr>
    </w:lvl>
    <w:lvl w:ilvl="4" w:tplc="CAD61C82">
      <w:start w:val="1"/>
      <w:numFmt w:val="lowerLetter"/>
      <w:lvlText w:val="%5."/>
      <w:lvlJc w:val="left"/>
      <w:pPr>
        <w:ind w:left="3600" w:hanging="360"/>
      </w:pPr>
    </w:lvl>
    <w:lvl w:ilvl="5" w:tplc="FB546576">
      <w:start w:val="1"/>
      <w:numFmt w:val="lowerRoman"/>
      <w:lvlText w:val="%6."/>
      <w:lvlJc w:val="right"/>
      <w:pPr>
        <w:ind w:left="4320" w:hanging="180"/>
      </w:pPr>
    </w:lvl>
    <w:lvl w:ilvl="6" w:tplc="B568C628">
      <w:start w:val="1"/>
      <w:numFmt w:val="decimal"/>
      <w:lvlText w:val="%7."/>
      <w:lvlJc w:val="left"/>
      <w:pPr>
        <w:ind w:left="5040" w:hanging="360"/>
      </w:pPr>
    </w:lvl>
    <w:lvl w:ilvl="7" w:tplc="8F82F256">
      <w:start w:val="1"/>
      <w:numFmt w:val="lowerLetter"/>
      <w:lvlText w:val="%8."/>
      <w:lvlJc w:val="left"/>
      <w:pPr>
        <w:ind w:left="5760" w:hanging="360"/>
      </w:pPr>
    </w:lvl>
    <w:lvl w:ilvl="8" w:tplc="80F227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868B"/>
    <w:multiLevelType w:val="hybridMultilevel"/>
    <w:tmpl w:val="7E2CC7AC"/>
    <w:lvl w:ilvl="0" w:tplc="91D04DA4">
      <w:start w:val="1"/>
      <w:numFmt w:val="decimal"/>
      <w:lvlText w:val="%1."/>
      <w:lvlJc w:val="left"/>
      <w:pPr>
        <w:ind w:left="720" w:hanging="360"/>
      </w:pPr>
    </w:lvl>
    <w:lvl w:ilvl="1" w:tplc="23B2C480">
      <w:start w:val="1"/>
      <w:numFmt w:val="lowerLetter"/>
      <w:lvlText w:val="%2."/>
      <w:lvlJc w:val="left"/>
      <w:pPr>
        <w:ind w:left="1440" w:hanging="360"/>
      </w:pPr>
    </w:lvl>
    <w:lvl w:ilvl="2" w:tplc="1E365CFA">
      <w:start w:val="1"/>
      <w:numFmt w:val="lowerRoman"/>
      <w:lvlText w:val="%3."/>
      <w:lvlJc w:val="right"/>
      <w:pPr>
        <w:ind w:left="2160" w:hanging="180"/>
      </w:pPr>
    </w:lvl>
    <w:lvl w:ilvl="3" w:tplc="62C80996">
      <w:start w:val="1"/>
      <w:numFmt w:val="decimal"/>
      <w:lvlText w:val="%4."/>
      <w:lvlJc w:val="left"/>
      <w:pPr>
        <w:ind w:left="2880" w:hanging="360"/>
      </w:pPr>
    </w:lvl>
    <w:lvl w:ilvl="4" w:tplc="233896AA">
      <w:start w:val="1"/>
      <w:numFmt w:val="lowerLetter"/>
      <w:lvlText w:val="%5."/>
      <w:lvlJc w:val="left"/>
      <w:pPr>
        <w:ind w:left="3600" w:hanging="360"/>
      </w:pPr>
    </w:lvl>
    <w:lvl w:ilvl="5" w:tplc="7A0A510A">
      <w:start w:val="1"/>
      <w:numFmt w:val="lowerRoman"/>
      <w:lvlText w:val="%6."/>
      <w:lvlJc w:val="right"/>
      <w:pPr>
        <w:ind w:left="4320" w:hanging="180"/>
      </w:pPr>
    </w:lvl>
    <w:lvl w:ilvl="6" w:tplc="85302C4E">
      <w:start w:val="1"/>
      <w:numFmt w:val="decimal"/>
      <w:lvlText w:val="%7."/>
      <w:lvlJc w:val="left"/>
      <w:pPr>
        <w:ind w:left="5040" w:hanging="360"/>
      </w:pPr>
    </w:lvl>
    <w:lvl w:ilvl="7" w:tplc="F6D01E16">
      <w:start w:val="1"/>
      <w:numFmt w:val="lowerLetter"/>
      <w:lvlText w:val="%8."/>
      <w:lvlJc w:val="left"/>
      <w:pPr>
        <w:ind w:left="5760" w:hanging="360"/>
      </w:pPr>
    </w:lvl>
    <w:lvl w:ilvl="8" w:tplc="BBF066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9DC9"/>
    <w:multiLevelType w:val="hybridMultilevel"/>
    <w:tmpl w:val="BCE2D87C"/>
    <w:lvl w:ilvl="0" w:tplc="D01EA6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DE8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F6C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009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6003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589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50F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9E3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CAA8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0966CD"/>
    <w:multiLevelType w:val="hybridMultilevel"/>
    <w:tmpl w:val="07ACCA18"/>
    <w:lvl w:ilvl="0" w:tplc="974E0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611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D8D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0E21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C86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E29D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D8D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1C6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085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1369640487">
    <w:abstractNumId w:val="1"/>
  </w:num>
  <w:num w:numId="2" w16cid:durableId="1514492286">
    <w:abstractNumId w:val="4"/>
  </w:num>
  <w:num w:numId="3" w16cid:durableId="1952083749">
    <w:abstractNumId w:val="0"/>
  </w:num>
  <w:num w:numId="4" w16cid:durableId="1337073336">
    <w:abstractNumId w:val="3"/>
  </w:num>
  <w:num w:numId="5" w16cid:durableId="2352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1164D"/>
    <w:rsid w:val="0018D00B"/>
    <w:rsid w:val="00196AE0"/>
    <w:rsid w:val="004E32C5"/>
    <w:rsid w:val="0062B898"/>
    <w:rsid w:val="006E2FDB"/>
    <w:rsid w:val="013B55ED"/>
    <w:rsid w:val="018CB6C3"/>
    <w:rsid w:val="021C5D8F"/>
    <w:rsid w:val="026D13D0"/>
    <w:rsid w:val="0291B48D"/>
    <w:rsid w:val="02F6DC7F"/>
    <w:rsid w:val="02FE98CF"/>
    <w:rsid w:val="03A1B625"/>
    <w:rsid w:val="03E4FD56"/>
    <w:rsid w:val="04854745"/>
    <w:rsid w:val="04AEA653"/>
    <w:rsid w:val="050A6FCF"/>
    <w:rsid w:val="05BD1653"/>
    <w:rsid w:val="06599DC8"/>
    <w:rsid w:val="079970FF"/>
    <w:rsid w:val="07D16DD5"/>
    <w:rsid w:val="07DAECD5"/>
    <w:rsid w:val="08252807"/>
    <w:rsid w:val="083FE6F0"/>
    <w:rsid w:val="09BB2545"/>
    <w:rsid w:val="09BF705C"/>
    <w:rsid w:val="0A374EE9"/>
    <w:rsid w:val="0C89A188"/>
    <w:rsid w:val="0CDF3D92"/>
    <w:rsid w:val="0E293086"/>
    <w:rsid w:val="0E65F321"/>
    <w:rsid w:val="0EAF3F33"/>
    <w:rsid w:val="0EB924F7"/>
    <w:rsid w:val="0F25B07A"/>
    <w:rsid w:val="100B50C6"/>
    <w:rsid w:val="10C9B6E8"/>
    <w:rsid w:val="10E08DC4"/>
    <w:rsid w:val="1154F8AF"/>
    <w:rsid w:val="1187ECC3"/>
    <w:rsid w:val="119D93E3"/>
    <w:rsid w:val="12AFC5DD"/>
    <w:rsid w:val="137851C7"/>
    <w:rsid w:val="14326DE1"/>
    <w:rsid w:val="14800A1C"/>
    <w:rsid w:val="148C9971"/>
    <w:rsid w:val="14B38428"/>
    <w:rsid w:val="14BF8D85"/>
    <w:rsid w:val="14E268D5"/>
    <w:rsid w:val="1565D509"/>
    <w:rsid w:val="15A5B433"/>
    <w:rsid w:val="15CA433F"/>
    <w:rsid w:val="15DC8F54"/>
    <w:rsid w:val="15E1276B"/>
    <w:rsid w:val="16C17E89"/>
    <w:rsid w:val="17413ABF"/>
    <w:rsid w:val="18E96408"/>
    <w:rsid w:val="1992F4B2"/>
    <w:rsid w:val="1A046734"/>
    <w:rsid w:val="1A32B7A4"/>
    <w:rsid w:val="1A3CBC05"/>
    <w:rsid w:val="1A879DE5"/>
    <w:rsid w:val="1B00CBDC"/>
    <w:rsid w:val="1B22D0CA"/>
    <w:rsid w:val="1B59AD0F"/>
    <w:rsid w:val="1BCC4216"/>
    <w:rsid w:val="1BDCC55B"/>
    <w:rsid w:val="1BFA4C06"/>
    <w:rsid w:val="1C04EC68"/>
    <w:rsid w:val="1C28C3B2"/>
    <w:rsid w:val="1C964995"/>
    <w:rsid w:val="1CFFEF36"/>
    <w:rsid w:val="1D04B476"/>
    <w:rsid w:val="1E5EC0A9"/>
    <w:rsid w:val="1E894B1B"/>
    <w:rsid w:val="1F3E01C9"/>
    <w:rsid w:val="1F7FDB2D"/>
    <w:rsid w:val="1FBA9249"/>
    <w:rsid w:val="1FEB3942"/>
    <w:rsid w:val="201D0B38"/>
    <w:rsid w:val="219D7915"/>
    <w:rsid w:val="21C8FDA4"/>
    <w:rsid w:val="21FD253C"/>
    <w:rsid w:val="235CBC3E"/>
    <w:rsid w:val="23DA5CEC"/>
    <w:rsid w:val="23FEA2C1"/>
    <w:rsid w:val="2464F6EC"/>
    <w:rsid w:val="257A5B32"/>
    <w:rsid w:val="25C5F305"/>
    <w:rsid w:val="25F7F84C"/>
    <w:rsid w:val="27A055CE"/>
    <w:rsid w:val="28937E49"/>
    <w:rsid w:val="28FD93C7"/>
    <w:rsid w:val="290FB699"/>
    <w:rsid w:val="293631FE"/>
    <w:rsid w:val="29CFEB7B"/>
    <w:rsid w:val="2A6AD30F"/>
    <w:rsid w:val="2A9CE565"/>
    <w:rsid w:val="2AFDC749"/>
    <w:rsid w:val="2C186B27"/>
    <w:rsid w:val="2C65095A"/>
    <w:rsid w:val="2CDAB998"/>
    <w:rsid w:val="2D2E69A2"/>
    <w:rsid w:val="2D4E21F7"/>
    <w:rsid w:val="2DF53668"/>
    <w:rsid w:val="2F085581"/>
    <w:rsid w:val="2F638700"/>
    <w:rsid w:val="30635D94"/>
    <w:rsid w:val="30EB401C"/>
    <w:rsid w:val="324CAC93"/>
    <w:rsid w:val="32B5AC27"/>
    <w:rsid w:val="333EC9E1"/>
    <w:rsid w:val="336F9F35"/>
    <w:rsid w:val="34225F2F"/>
    <w:rsid w:val="3562F235"/>
    <w:rsid w:val="35E71FF0"/>
    <w:rsid w:val="36964CB3"/>
    <w:rsid w:val="36D22C0F"/>
    <w:rsid w:val="36EE18AA"/>
    <w:rsid w:val="372DEA3B"/>
    <w:rsid w:val="3781205D"/>
    <w:rsid w:val="38632D21"/>
    <w:rsid w:val="388F034E"/>
    <w:rsid w:val="393C86E5"/>
    <w:rsid w:val="39A6B65A"/>
    <w:rsid w:val="39E65639"/>
    <w:rsid w:val="3A66F4F2"/>
    <w:rsid w:val="3A8DE293"/>
    <w:rsid w:val="3ABA9113"/>
    <w:rsid w:val="3B384DCF"/>
    <w:rsid w:val="3B49DBC6"/>
    <w:rsid w:val="3B73F96A"/>
    <w:rsid w:val="3BE94D4E"/>
    <w:rsid w:val="3C8DF162"/>
    <w:rsid w:val="3D4461F0"/>
    <w:rsid w:val="3D5ED3A1"/>
    <w:rsid w:val="3DD26B57"/>
    <w:rsid w:val="3E38624C"/>
    <w:rsid w:val="3E3E571F"/>
    <w:rsid w:val="3E713988"/>
    <w:rsid w:val="3F380001"/>
    <w:rsid w:val="3F568806"/>
    <w:rsid w:val="40409778"/>
    <w:rsid w:val="412BFDA6"/>
    <w:rsid w:val="41CAD2F3"/>
    <w:rsid w:val="41FE581D"/>
    <w:rsid w:val="425DC72D"/>
    <w:rsid w:val="4263CE01"/>
    <w:rsid w:val="42AF41F0"/>
    <w:rsid w:val="42C7D4BA"/>
    <w:rsid w:val="436CF1B0"/>
    <w:rsid w:val="43BE0F28"/>
    <w:rsid w:val="43F71C40"/>
    <w:rsid w:val="4443BE33"/>
    <w:rsid w:val="44804C46"/>
    <w:rsid w:val="44C7F055"/>
    <w:rsid w:val="45DBA22A"/>
    <w:rsid w:val="4619AEF0"/>
    <w:rsid w:val="47745321"/>
    <w:rsid w:val="47805160"/>
    <w:rsid w:val="47ACFA6D"/>
    <w:rsid w:val="484C5D71"/>
    <w:rsid w:val="4874CB9A"/>
    <w:rsid w:val="48CD08B1"/>
    <w:rsid w:val="48E7CBEC"/>
    <w:rsid w:val="49417B3F"/>
    <w:rsid w:val="49DED21E"/>
    <w:rsid w:val="4A6145B9"/>
    <w:rsid w:val="4A90B6AE"/>
    <w:rsid w:val="4AC7486A"/>
    <w:rsid w:val="4BE79B21"/>
    <w:rsid w:val="4BFB9BDD"/>
    <w:rsid w:val="4C47C444"/>
    <w:rsid w:val="4E00CA31"/>
    <w:rsid w:val="4E34CDB7"/>
    <w:rsid w:val="4E900EE2"/>
    <w:rsid w:val="4EEF55D5"/>
    <w:rsid w:val="4F1E199B"/>
    <w:rsid w:val="4F32B77F"/>
    <w:rsid w:val="51C07290"/>
    <w:rsid w:val="51F23194"/>
    <w:rsid w:val="52644E3E"/>
    <w:rsid w:val="527585D5"/>
    <w:rsid w:val="53344EF5"/>
    <w:rsid w:val="53638005"/>
    <w:rsid w:val="538E01F5"/>
    <w:rsid w:val="53AAC8BB"/>
    <w:rsid w:val="53B1926F"/>
    <w:rsid w:val="540389B1"/>
    <w:rsid w:val="5493EFB6"/>
    <w:rsid w:val="54AE9FA5"/>
    <w:rsid w:val="550F71F2"/>
    <w:rsid w:val="55208505"/>
    <w:rsid w:val="55A5CE5F"/>
    <w:rsid w:val="55B076D7"/>
    <w:rsid w:val="56A1164D"/>
    <w:rsid w:val="56A16727"/>
    <w:rsid w:val="5734EB38"/>
    <w:rsid w:val="578F0276"/>
    <w:rsid w:val="5886EF31"/>
    <w:rsid w:val="58C32135"/>
    <w:rsid w:val="598E118F"/>
    <w:rsid w:val="59EB998B"/>
    <w:rsid w:val="5AD84257"/>
    <w:rsid w:val="5BB5DAA0"/>
    <w:rsid w:val="5BF57339"/>
    <w:rsid w:val="5C22BAC3"/>
    <w:rsid w:val="5C3DD7FF"/>
    <w:rsid w:val="5C58AB76"/>
    <w:rsid w:val="5D1C83B5"/>
    <w:rsid w:val="5DF47BD7"/>
    <w:rsid w:val="5E427ED7"/>
    <w:rsid w:val="5E94B39D"/>
    <w:rsid w:val="5ED81125"/>
    <w:rsid w:val="5FA5E41A"/>
    <w:rsid w:val="5FAB3A02"/>
    <w:rsid w:val="5FAC68A6"/>
    <w:rsid w:val="60B7A985"/>
    <w:rsid w:val="60E07922"/>
    <w:rsid w:val="61ACC6C3"/>
    <w:rsid w:val="6236D253"/>
    <w:rsid w:val="6267A29F"/>
    <w:rsid w:val="629414C2"/>
    <w:rsid w:val="62C8CC9E"/>
    <w:rsid w:val="63479B05"/>
    <w:rsid w:val="63D69DB7"/>
    <w:rsid w:val="6430027C"/>
    <w:rsid w:val="643AEDBE"/>
    <w:rsid w:val="64E06B76"/>
    <w:rsid w:val="65037657"/>
    <w:rsid w:val="65704309"/>
    <w:rsid w:val="65FF8DBC"/>
    <w:rsid w:val="6648E561"/>
    <w:rsid w:val="670E3E79"/>
    <w:rsid w:val="68AA0EDA"/>
    <w:rsid w:val="68DCDC1E"/>
    <w:rsid w:val="68FBD4DD"/>
    <w:rsid w:val="6927AF88"/>
    <w:rsid w:val="69CA0B60"/>
    <w:rsid w:val="6A1705AC"/>
    <w:rsid w:val="6B4F219B"/>
    <w:rsid w:val="6B7EF06E"/>
    <w:rsid w:val="6BC8873F"/>
    <w:rsid w:val="6C58DA95"/>
    <w:rsid w:val="6DBDBB2C"/>
    <w:rsid w:val="6E9C1950"/>
    <w:rsid w:val="6EAF4984"/>
    <w:rsid w:val="6F22C4FC"/>
    <w:rsid w:val="6F598B8D"/>
    <w:rsid w:val="6FE936A0"/>
    <w:rsid w:val="7027CF56"/>
    <w:rsid w:val="7148F699"/>
    <w:rsid w:val="7199C0E0"/>
    <w:rsid w:val="71AC853D"/>
    <w:rsid w:val="727EB320"/>
    <w:rsid w:val="72CAF46E"/>
    <w:rsid w:val="73410B23"/>
    <w:rsid w:val="73A06D47"/>
    <w:rsid w:val="74218450"/>
    <w:rsid w:val="7425B235"/>
    <w:rsid w:val="749C40A8"/>
    <w:rsid w:val="758F5089"/>
    <w:rsid w:val="75D68000"/>
    <w:rsid w:val="76381109"/>
    <w:rsid w:val="76A7B1E6"/>
    <w:rsid w:val="76DFFA25"/>
    <w:rsid w:val="7709D428"/>
    <w:rsid w:val="771CAA82"/>
    <w:rsid w:val="778C2179"/>
    <w:rsid w:val="77FEFCD9"/>
    <w:rsid w:val="78562BCA"/>
    <w:rsid w:val="786BBE48"/>
    <w:rsid w:val="78F4F573"/>
    <w:rsid w:val="796FB1CB"/>
    <w:rsid w:val="79A2CFF0"/>
    <w:rsid w:val="79B206F6"/>
    <w:rsid w:val="7A060EA8"/>
    <w:rsid w:val="7C55F84A"/>
    <w:rsid w:val="7C90461A"/>
    <w:rsid w:val="7CE0648C"/>
    <w:rsid w:val="7D5F8DA0"/>
    <w:rsid w:val="7D7363C0"/>
    <w:rsid w:val="7EE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164D"/>
  <w15:chartTrackingRefBased/>
  <w15:docId w15:val="{58D2D95F-CD4E-46FE-82A7-C0C2AED3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william@tomowork.org" TargetMode="Externa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mike@tomowork.org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nbc.com/2021/01/19/job-opportunities-fast-growing-industries-in-southeast-asia-linkedin.html" TargetMode="External"/><Relationship Id="rId1" Type="http://schemas.openxmlformats.org/officeDocument/2006/relationships/hyperlink" Target="https://www.linkedin.com/pulse/booming-307-growth-rate-data-analytics-market-generating-harsh-k-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8FEB0-D12C-4880-A48D-22398FBE3E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FCF769-3E62-405C-80AF-2DA4F67FC889}">
  <ds:schemaRefs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14d0a063-d676-4b0c-bc1a-e6466aeb0b46"/>
    <ds:schemaRef ds:uri="http://schemas.openxmlformats.org/package/2006/metadata/core-properties"/>
    <ds:schemaRef ds:uri="0070f5f9-94d9-4e38-baa5-82e0efa822c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B6D08C-BC37-4A7E-998D-6305AE3CD2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Chain</dc:creator>
  <cp:keywords/>
  <dc:description/>
  <cp:lastModifiedBy>Siow Jun Yu</cp:lastModifiedBy>
  <cp:revision>10</cp:revision>
  <dcterms:created xsi:type="dcterms:W3CDTF">2023-02-24T06:25:00Z</dcterms:created>
  <dcterms:modified xsi:type="dcterms:W3CDTF">2023-03-16T09:22:43Z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Order">
    <vt:r8>6200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