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06 Cross Route Controlled Comparison Workbook v1.3</w:t>
      </w:r>
    </w:p>
    <w:p>
      <w:pPr>
        <w:pStyle w:val="Heading1"/>
      </w:pPr>
      <w:r>
        <w:t>Document revision history</w:t>
      </w:r>
    </w:p>
    <w:tbl>
      <w:tblPr>
        <w:tblStyle w:val="TableGrid"/>
        <w:tblW w:type="auto" w:w="0"/>
        <w:tblLayout w:type="autofit"/>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2078"/>
            <w:vAlign w:val="center"/>
            <w:shd w:fill="1F4E78"/>
          </w:tcPr>
          <w:p>
            <w:pPr>
              <w:spacing w:after="0"/>
            </w:pPr>
            <w:r>
              <w:rPr>
                <w:b/>
                <w:color w:val="FFFFFF"/>
                <w:sz w:val="14"/>
              </w:rPr>
              <w:t>Version</w:t>
            </w:r>
          </w:p>
        </w:tc>
        <w:tc>
          <w:tcPr>
            <w:tcW w:type="dxa" w:w="2078"/>
            <w:vAlign w:val="center"/>
            <w:shd w:fill="1F4E78"/>
          </w:tcPr>
          <w:p>
            <w:pPr>
              <w:spacing w:after="0"/>
            </w:pPr>
            <w:r>
              <w:rPr>
                <w:b/>
                <w:color w:val="FFFFFF"/>
                <w:sz w:val="14"/>
              </w:rPr>
              <w:t>Date</w:t>
            </w:r>
          </w:p>
        </w:tc>
        <w:tc>
          <w:tcPr>
            <w:tcW w:type="dxa" w:w="2078"/>
            <w:vAlign w:val="center"/>
            <w:shd w:fill="1F4E78"/>
          </w:tcPr>
          <w:p>
            <w:pPr>
              <w:spacing w:after="0"/>
            </w:pPr>
            <w:r>
              <w:rPr>
                <w:b/>
                <w:color w:val="FFFFFF"/>
                <w:sz w:val="14"/>
              </w:rPr>
              <w:t>Changed by</w:t>
            </w:r>
          </w:p>
        </w:tc>
        <w:tc>
          <w:tcPr>
            <w:tcW w:type="dxa" w:w="2078"/>
            <w:vAlign w:val="center"/>
            <w:shd w:fill="1F4E78"/>
          </w:tcPr>
          <w:p>
            <w:pPr>
              <w:spacing w:after="0"/>
            </w:pPr>
            <w:r>
              <w:rPr>
                <w:b/>
                <w:color w:val="FFFFFF"/>
                <w:sz w:val="14"/>
              </w:rPr>
              <w:t>Change</w:t>
            </w:r>
          </w:p>
        </w:tc>
        <w:tc>
          <w:tcPr>
            <w:tcW w:type="dxa" w:w="2078"/>
            <w:vAlign w:val="center"/>
            <w:shd w:fill="1F4E78"/>
          </w:tcPr>
          <w:p>
            <w:pPr>
              <w:spacing w:after="0"/>
            </w:pPr>
            <w:r>
              <w:rPr>
                <w:b/>
                <w:color w:val="FFFFFF"/>
                <w:sz w:val="14"/>
              </w:rPr>
              <w:t>Affected test IDs</w:t>
            </w:r>
          </w:p>
        </w:tc>
        <w:tc>
          <w:tcPr>
            <w:tcW w:type="dxa" w:w="2078"/>
            <w:vAlign w:val="center"/>
            <w:shd w:fill="1F4E78"/>
          </w:tcPr>
          <w:p>
            <w:pPr>
              <w:spacing w:after="0"/>
            </w:pPr>
            <w:r>
              <w:rPr>
                <w:b/>
                <w:color w:val="FFFFFF"/>
                <w:sz w:val="14"/>
              </w:rPr>
              <w:t>Reference</w:t>
            </w:r>
          </w:p>
        </w:tc>
        <w:tc>
          <w:tcPr>
            <w:tcW w:type="dxa" w:w="2078"/>
            <w:vAlign w:val="center"/>
            <w:shd w:fill="1F4E78"/>
          </w:tcPr>
          <w:p>
            <w:pPr>
              <w:spacing w:after="0"/>
            </w:pPr>
            <w:r>
              <w:rPr>
                <w:b/>
                <w:color w:val="FFFFFF"/>
                <w:sz w:val="14"/>
              </w:rPr>
              <w:t>Status</w:t>
            </w:r>
          </w:p>
        </w:tc>
      </w:tr>
      <w:tr>
        <w:trPr>
          <w:cantSplit/>
        </w:trPr>
        <w:tc>
          <w:tcPr>
            <w:tcW w:type="dxa" w:w="2078"/>
            <w:vAlign w:val="center"/>
          </w:tcPr>
          <w:p>
            <w:pPr>
              <w:spacing w:after="0"/>
            </w:pPr>
            <w:r>
              <w:rPr>
                <w:sz w:val="14"/>
              </w:rPr>
              <w:t>1.0</w:t>
            </w:r>
          </w:p>
        </w:tc>
        <w:tc>
          <w:tcPr>
            <w:tcW w:type="dxa" w:w="2078"/>
            <w:vAlign w:val="center"/>
          </w:tcPr>
          <w:p>
            <w:pPr>
              <w:spacing w:after="0"/>
            </w:pPr>
            <w:r>
              <w:rPr>
                <w:sz w:val="14"/>
              </w:rPr>
              <w:t>2026-07-13</w:t>
            </w:r>
          </w:p>
        </w:tc>
        <w:tc>
          <w:tcPr>
            <w:tcW w:type="dxa" w:w="2078"/>
            <w:vAlign w:val="center"/>
          </w:tcPr>
          <w:p>
            <w:pPr>
              <w:spacing w:after="0"/>
            </w:pPr>
            <w:r>
              <w:rPr>
                <w:sz w:val="14"/>
              </w:rPr>
              <w:t>Project team</w:t>
            </w:r>
          </w:p>
        </w:tc>
        <w:tc>
          <w:tcPr>
            <w:tcW w:type="dxa" w:w="2078"/>
            <w:vAlign w:val="center"/>
          </w:tcPr>
          <w:p>
            <w:pPr>
              <w:spacing w:after="0"/>
            </w:pPr>
            <w:r>
              <w:rPr>
                <w:sz w:val="14"/>
              </w:rPr>
              <w:t>Created the controlled cross-route comparison workbook.</w:t>
            </w:r>
          </w:p>
        </w:tc>
        <w:tc>
          <w:tcPr>
            <w:tcW w:type="dxa" w:w="2078"/>
            <w:vAlign w:val="center"/>
          </w:tcPr>
          <w:p>
            <w:pPr>
              <w:spacing w:after="0"/>
            </w:pPr>
            <w:r>
              <w:rPr>
                <w:sz w:val="14"/>
              </w:rPr>
              <w:t>Original controlled IDs from the supplied source workbook</w:t>
            </w:r>
          </w:p>
        </w:tc>
        <w:tc>
          <w:tcPr>
            <w:tcW w:type="dxa" w:w="2078"/>
            <w:vAlign w:val="center"/>
          </w:tcPr>
          <w:p>
            <w:pPr>
              <w:spacing w:after="0"/>
            </w:pPr>
            <w:r>
              <w:rPr>
                <w:sz w:val="14"/>
              </w:rPr>
              <w:t>chore/complete-workbook-testing-controls; #4; d663fa366e469fe082d22ed5f88c2609cb6437dc</w:t>
            </w:r>
          </w:p>
        </w:tc>
        <w:tc>
          <w:tcPr>
            <w:tcW w:type="dxa" w:w="2078"/>
            <w:vAlign w:val="center"/>
          </w:tcPr>
          <w:p>
            <w:pPr>
              <w:spacing w:after="0"/>
            </w:pPr>
            <w:r>
              <w:rPr>
                <w:sz w:val="14"/>
              </w:rPr>
              <w:t>Superseded</w:t>
            </w:r>
          </w:p>
        </w:tc>
      </w:tr>
      <w:tr>
        <w:trPr>
          <w:cantSplit/>
        </w:trPr>
        <w:tc>
          <w:tcPr>
            <w:tcW w:type="dxa" w:w="2078"/>
            <w:vAlign w:val="center"/>
            <w:shd w:fill="EAF2F8"/>
          </w:tcPr>
          <w:p>
            <w:pPr>
              <w:spacing w:after="0"/>
            </w:pPr>
            <w:r>
              <w:rPr>
                <w:sz w:val="14"/>
              </w:rPr>
              <w:t>1.1</w:t>
            </w:r>
          </w:p>
        </w:tc>
        <w:tc>
          <w:tcPr>
            <w:tcW w:type="dxa" w:w="2078"/>
            <w:vAlign w:val="center"/>
            <w:shd w:fill="EAF2F8"/>
          </w:tcPr>
          <w:p>
            <w:pPr>
              <w:spacing w:after="0"/>
            </w:pPr>
            <w:r>
              <w:rPr>
                <w:sz w:val="14"/>
              </w:rPr>
              <w:t>2026-07-13</w:t>
            </w:r>
          </w:p>
        </w:tc>
        <w:tc>
          <w:tcPr>
            <w:tcW w:type="dxa" w:w="2078"/>
            <w:vAlign w:val="center"/>
            <w:shd w:fill="EAF2F8"/>
          </w:tcPr>
          <w:p>
            <w:pPr>
              <w:spacing w:after="0"/>
            </w:pPr>
            <w:r>
              <w:rPr>
                <w:sz w:val="14"/>
              </w:rPr>
              <w:t>Project team</w:t>
            </w:r>
          </w:p>
        </w:tc>
        <w:tc>
          <w:tcPr>
            <w:tcW w:type="dxa" w:w="2078"/>
            <w:vAlign w:val="center"/>
            <w:shd w:fill="EAF2F8"/>
          </w:tcPr>
          <w:p>
            <w:pPr>
              <w:spacing w:after="0"/>
            </w:pPr>
            <w:r>
              <w:rPr>
                <w:sz w:val="14"/>
              </w:rPr>
              <w:t>Added dedicated official TBQ3/TBQ4 and experimental QJL/PolarQuant comparison and decision rows.</w:t>
            </w:r>
          </w:p>
        </w:tc>
        <w:tc>
          <w:tcPr>
            <w:tcW w:type="dxa" w:w="2078"/>
            <w:vAlign w:val="center"/>
            <w:shd w:fill="EAF2F8"/>
          </w:tcPr>
          <w:p>
            <w:pPr>
              <w:spacing w:after="0"/>
            </w:pPr>
            <w:r>
              <w:rPr>
                <w:sz w:val="14"/>
              </w:rPr>
              <w:t>Comparison rows only; source execution IDs remain in WB-01–WB-05</w:t>
            </w:r>
          </w:p>
        </w:tc>
        <w:tc>
          <w:tcPr>
            <w:tcW w:type="dxa" w:w="2078"/>
            <w:vAlign w:val="center"/>
            <w:shd w:fill="EAF2F8"/>
          </w:tcPr>
          <w:p>
            <w:pPr>
              <w:spacing w:after="0"/>
            </w:pPr>
            <w:r>
              <w:rPr>
                <w:sz w:val="14"/>
              </w:rPr>
              <w:t>test-plan/expand-openvino-codecs; #5; c5f037389ba0cdaa466033dfeb2ae584f84fd690</w:t>
            </w:r>
          </w:p>
        </w:tc>
        <w:tc>
          <w:tcPr>
            <w:tcW w:type="dxa" w:w="2078"/>
            <w:vAlign w:val="center"/>
            <w:shd w:fill="EAF2F8"/>
          </w:tcPr>
          <w:p>
            <w:pPr>
              <w:spacing w:after="0"/>
            </w:pPr>
            <w:r>
              <w:rPr>
                <w:sz w:val="14"/>
              </w:rPr>
              <w:t>Superseded</w:t>
            </w:r>
          </w:p>
        </w:tc>
      </w:tr>
      <w:tr>
        <w:trPr>
          <w:cantSplit/>
        </w:trPr>
        <w:tc>
          <w:tcPr>
            <w:tcW w:type="dxa" w:w="2078"/>
            <w:vAlign w:val="center"/>
          </w:tcPr>
          <w:p>
            <w:pPr>
              <w:spacing w:after="0"/>
            </w:pPr>
            <w:r>
              <w:rPr>
                <w:sz w:val="14"/>
              </w:rPr>
              <w:t>1.2</w:t>
            </w:r>
          </w:p>
        </w:tc>
        <w:tc>
          <w:tcPr>
            <w:tcW w:type="dxa" w:w="2078"/>
            <w:vAlign w:val="center"/>
          </w:tcPr>
          <w:p>
            <w:pPr>
              <w:spacing w:after="0"/>
            </w:pPr>
            <w:r>
              <w:rPr>
                <w:sz w:val="14"/>
              </w:rPr>
              <w:t>2026-07-14</w:t>
            </w:r>
          </w:p>
        </w:tc>
        <w:tc>
          <w:tcPr>
            <w:tcW w:type="dxa" w:w="2078"/>
            <w:vAlign w:val="center"/>
          </w:tcPr>
          <w:p>
            <w:pPr>
              <w:spacing w:after="0"/>
            </w:pPr>
            <w:r>
              <w:rPr>
                <w:sz w:val="14"/>
              </w:rPr>
              <w:t>Project team</w:t>
            </w:r>
          </w:p>
        </w:tc>
        <w:tc>
          <w:tcPr>
            <w:tcW w:type="dxa" w:w="2078"/>
            <w:vAlign w:val="center"/>
          </w:tcPr>
          <w:p>
            <w:pPr>
              <w:spacing w:after="0"/>
            </w:pPr>
            <w:r>
              <w:rPr>
                <w:sz w:val="14"/>
              </w:rPr>
              <w:t>Added an embedded document revision-history table generated from the central append-only register; no test scope or test ID changed.</w:t>
            </w:r>
          </w:p>
        </w:tc>
        <w:tc>
          <w:tcPr>
            <w:tcW w:type="dxa" w:w="2078"/>
            <w:vAlign w:val="center"/>
          </w:tcPr>
          <w:p>
            <w:pPr>
              <w:spacing w:after="0"/>
            </w:pPr>
            <w:r>
              <w:rPr>
                <w:sz w:val="14"/>
              </w:rPr>
              <w:t>None</w:t>
            </w:r>
          </w:p>
        </w:tc>
        <w:tc>
          <w:tcPr>
            <w:tcW w:type="dxa" w:w="2078"/>
            <w:vAlign w:val="center"/>
          </w:tcPr>
          <w:p>
            <w:pPr>
              <w:spacing w:after="0"/>
            </w:pPr>
            <w:r>
              <w:rPr>
                <w:sz w:val="14"/>
              </w:rPr>
              <w:t>docs/workbook-revision-control; #8; 9ea9429ff23a4a3eb7274d61ce27b8fc8f94c2a8</w:t>
            </w:r>
          </w:p>
        </w:tc>
        <w:tc>
          <w:tcPr>
            <w:tcW w:type="dxa" w:w="2078"/>
            <w:vAlign w:val="center"/>
          </w:tcPr>
          <w:p>
            <w:pPr>
              <w:spacing w:after="0"/>
            </w:pPr>
            <w:r>
              <w:rPr>
                <w:sz w:val="14"/>
              </w:rPr>
              <w:t>Superseded</w:t>
            </w:r>
          </w:p>
        </w:tc>
      </w:tr>
      <w:tr>
        <w:trPr>
          <w:cantSplit/>
        </w:trPr>
        <w:tc>
          <w:tcPr>
            <w:tcW w:type="dxa" w:w="2078"/>
            <w:vAlign w:val="center"/>
            <w:shd w:fill="EAF2F8"/>
          </w:tcPr>
          <w:p>
            <w:pPr>
              <w:spacing w:after="0"/>
            </w:pPr>
            <w:r>
              <w:rPr>
                <w:sz w:val="14"/>
              </w:rPr>
              <w:t>1.3</w:t>
            </w:r>
          </w:p>
        </w:tc>
        <w:tc>
          <w:tcPr>
            <w:tcW w:type="dxa" w:w="2078"/>
            <w:vAlign w:val="center"/>
            <w:shd w:fill="EAF2F8"/>
          </w:tcPr>
          <w:p>
            <w:pPr>
              <w:spacing w:after="0"/>
            </w:pPr>
            <w:r>
              <w:rPr>
                <w:sz w:val="14"/>
              </w:rPr>
              <w:t>2026-07-14</w:t>
            </w:r>
          </w:p>
        </w:tc>
        <w:tc>
          <w:tcPr>
            <w:tcW w:type="dxa" w:w="2078"/>
            <w:vAlign w:val="center"/>
            <w:shd w:fill="EAF2F8"/>
          </w:tcPr>
          <w:p>
            <w:pPr>
              <w:spacing w:after="0"/>
            </w:pPr>
            <w:r>
              <w:rPr>
                <w:sz w:val="14"/>
              </w:rPr>
              <w:t>Project team</w:t>
            </w:r>
          </w:p>
        </w:tc>
        <w:tc>
          <w:tcPr>
            <w:tcW w:type="dxa" w:w="2078"/>
            <w:vAlign w:val="center"/>
            <w:shd w:fill="EAF2F8"/>
          </w:tcPr>
          <w:p>
            <w:pPr>
              <w:spacing w:after="0"/>
            </w:pPr>
            <w:r>
              <w:rPr>
                <w:sz w:val="14"/>
              </w:rPr>
              <w:t>Re-established canonical template and deterministic DOCX baselines; pinned the complete tested document-generation dependency set; replaced the stale hard-coded PR gate with lifecycle-aware validation; no test scope or test ID changed.</w:t>
            </w:r>
          </w:p>
        </w:tc>
        <w:tc>
          <w:tcPr>
            <w:tcW w:type="dxa" w:w="2078"/>
            <w:vAlign w:val="center"/>
            <w:shd w:fill="EAF2F8"/>
          </w:tcPr>
          <w:p>
            <w:pPr>
              <w:spacing w:after="0"/>
            </w:pPr>
            <w:r>
              <w:rPr>
                <w:sz w:val="14"/>
              </w:rPr>
              <w:t>None</w:t>
            </w:r>
          </w:p>
        </w:tc>
        <w:tc>
          <w:tcPr>
            <w:tcW w:type="dxa" w:w="2078"/>
            <w:vAlign w:val="center"/>
            <w:shd w:fill="EAF2F8"/>
          </w:tcPr>
          <w:p>
            <w:pPr>
              <w:spacing w:after="0"/>
            </w:pPr>
            <w:r>
              <w:rPr>
                <w:sz w:val="14"/>
              </w:rPr>
              <w:t>testing/workbook-control-baseline-repair; #21; Pending merge; base 4bee757fb8ad40986df33df7e352526bfa4e7338</w:t>
            </w:r>
          </w:p>
        </w:tc>
        <w:tc>
          <w:tcPr>
            <w:tcW w:type="dxa" w:w="2078"/>
            <w:vAlign w:val="center"/>
            <w:shd w:fill="EAF2F8"/>
          </w:tcPr>
          <w:p>
            <w:pPr>
              <w:spacing w:after="0"/>
            </w:pPr>
            <w:r>
              <w:rPr>
                <w:sz w:val="14"/>
              </w:rPr>
              <w:t>Current - pending merge</w:t>
            </w:r>
          </w:p>
        </w:tc>
      </w:tr>
    </w:tbl>
    <w:p>
      <w:pPr>
        <w:spacing w:after="80"/>
      </w:pPr>
      <w:r>
        <w:rPr>
          <w:b/>
        </w:rPr>
        <w:t>Canonical source: docs/testing/Workbook-Revision-Register.csv. Older rows are retained and never overwritten.</w:t>
      </w:r>
    </w:p>
    <w:p>
      <w:pPr>
        <w:spacing w:after="60"/>
      </w:pPr>
      <w:r>
        <w:rPr>
          <w:b/>
        </w:rPr>
        <w:t>Controlled filename:</w:t>
      </w:r>
      <w:r>
        <w:t xml:space="preserve"> `06_Cross_Route_Controlled_Comparison_Workbook_v1.docx`</w:t>
      </w:r>
    </w:p>
    <w:p>
      <w:pPr>
        <w:spacing w:after="60"/>
      </w:pPr>
      <w:r>
        <w:rPr>
          <w:b/>
        </w:rPr>
        <w:t>Generated DOCX hash:</w:t>
      </w:r>
      <w:r>
        <w:t xml:space="preserve"> recorded in `Controlled-Workbook-Manifest.csv`</w:t>
      </w:r>
    </w:p>
    <w:p>
      <w:pPr>
        <w:spacing w:after="60"/>
      </w:pPr>
      <w:r>
        <w:rPr>
          <w:b/>
        </w:rPr>
        <w:t>Original source:</w:t>
      </w:r>
      <w:r>
        <w:t xml:space="preserve"> `06_Cross_Route_Editable_Comparison_Workbook.docx`</w:t>
      </w:r>
    </w:p>
    <w:p>
      <w:pPr>
        <w:spacing w:after="60"/>
      </w:pPr>
      <w:r>
        <w:rPr>
          <w:b/>
        </w:rPr>
        <w:t>Original source SHA-256:</w:t>
      </w:r>
      <w:r>
        <w:t xml:space="preserve"> `accea4698f611e4695917cbc69c5fadd45f2cee3c786c11020b301ffd8bc2760`</w:t>
      </w:r>
    </w:p>
    <w:p>
      <w:pPr>
        <w:pStyle w:val="Heading2"/>
      </w:pPr>
      <w:r>
        <w:t>Cross-Repository and Runtime Controlled Comparison Workbook</w:t>
      </w:r>
    </w:p>
    <w:p>
      <w:pPr>
        <w:spacing w:after="60"/>
      </w:pPr>
      <w:r>
        <w:t>Controlled retest revision 1.3. Historical results were removed from this working copy; the original source document is preserved under `docs/testing/source-material/original-workbooks/`.</w:t>
      </w:r>
    </w:p>
    <w:p>
      <w:pPr>
        <w:spacing w:after="60"/>
      </w:pPr>
      <w:r>
        <w:t>Purpose: combine only validated results from the five completed route workbooks into one controlled decision view. Record exact versions, commands, logs and evidence paths. Freeze formal settings only after pilot tests succeed.</w:t>
      </w:r>
    </w:p>
    <w:p>
      <w:pPr>
        <w:pStyle w:val="Heading1"/>
      </w:pPr>
      <w:r>
        <w:t>1. Scope and completion status</w:t>
      </w:r>
    </w:p>
    <w:tbl>
      <w:tblPr>
        <w:tblStyle w:val="TableGrid"/>
        <w:tblW w:type="auto" w:w="0"/>
        <w:tblLayout w:type="autofit"/>
        <w:tblLook w:firstColumn="1" w:firstRow="1" w:lastColumn="0" w:lastRow="0" w:noHBand="0" w:noVBand="1" w:val="04A0"/>
      </w:tblPr>
      <w:tblGrid>
        <w:gridCol w:w="7272"/>
        <w:gridCol w:w="7272"/>
      </w:tblGrid>
      <w:tr>
        <w:trPr>
          <w:cantSplit/>
          <w:tblHeader w:val="true"/>
        </w:trPr>
        <w:tc>
          <w:tcPr>
            <w:tcW w:type="dxa" w:w="7272"/>
            <w:shd w:fill="1F4E78"/>
            <w:vAlign w:val="center"/>
          </w:tcPr>
          <w:p>
            <w:r>
              <w:rPr>
                <w:b/>
                <w:color w:val="FFFFFF"/>
                <w:sz w:val="14"/>
              </w:rPr>
              <w:t>Field</w:t>
            </w:r>
          </w:p>
        </w:tc>
        <w:tc>
          <w:tcPr>
            <w:tcW w:type="dxa" w:w="7272"/>
            <w:shd w:fill="1F4E78"/>
            <w:vAlign w:val="center"/>
          </w:tcPr>
          <w:p>
            <w:r>
              <w:rPr>
                <w:b/>
                <w:color w:val="FFFFFF"/>
                <w:sz w:val="14"/>
              </w:rPr>
              <w:t>Record</w:t>
            </w:r>
          </w:p>
        </w:tc>
      </w:tr>
      <w:tr>
        <w:trPr>
          <w:cantSplit/>
        </w:trPr>
        <w:tc>
          <w:tcPr>
            <w:tcW w:type="dxa" w:w="7272"/>
            <w:vAlign w:val="center"/>
          </w:tcPr>
          <w:p>
            <w:pPr>
              <w:spacing w:after="0"/>
            </w:pPr>
            <w:r>
              <w:rPr>
                <w:sz w:val="14"/>
              </w:rPr>
              <w:t>Laptop</w:t>
            </w:r>
          </w:p>
        </w:tc>
        <w:tc>
          <w:tcPr>
            <w:tcW w:type="dxa" w:w="7272"/>
            <w:vAlign w:val="center"/>
          </w:tcPr>
          <w:p>
            <w:pPr>
              <w:spacing w:after="0"/>
            </w:pPr>
            <w:r>
              <w:rPr>
                <w:sz w:val="14"/>
              </w:rPr>
              <w:t>Lenovo-PF4HMD0T - Intel Core i5-12450H - 16 GB RAM - Intel UHD Graphics</w:t>
            </w:r>
          </w:p>
        </w:tc>
      </w:tr>
      <w:tr>
        <w:trPr>
          <w:cantSplit/>
        </w:trPr>
        <w:tc>
          <w:tcPr>
            <w:tcW w:type="dxa" w:w="7272"/>
            <w:vAlign w:val="center"/>
            <w:shd w:fill="EAF2F8"/>
          </w:tcPr>
          <w:p>
            <w:pPr>
              <w:spacing w:after="0"/>
            </w:pPr>
            <w:r>
              <w:rPr>
                <w:sz w:val="14"/>
              </w:rPr>
              <w:t>Models</w:t>
            </w:r>
          </w:p>
        </w:tc>
        <w:tc>
          <w:tcPr>
            <w:tcW w:type="dxa" w:w="7272"/>
            <w:vAlign w:val="center"/>
            <w:shd w:fill="EAF2F8"/>
          </w:tcPr>
          <w:p>
            <w:pPr>
              <w:spacing w:after="0"/>
            </w:pPr>
            <w:r>
              <w:rPr>
                <w:sz w:val="14"/>
              </w:rPr>
              <w:t>Known-supported diagnostic model; selected Granite 3B; selected Granite 8B</w:t>
            </w:r>
          </w:p>
        </w:tc>
      </w:tr>
      <w:tr>
        <w:trPr>
          <w:cantSplit/>
        </w:trPr>
        <w:tc>
          <w:tcPr>
            <w:tcW w:type="dxa" w:w="7272"/>
            <w:vAlign w:val="center"/>
          </w:tcPr>
          <w:p>
            <w:pPr>
              <w:spacing w:after="0"/>
            </w:pPr>
            <w:r>
              <w:rPr>
                <w:sz w:val="14"/>
              </w:rPr>
              <w:t>NPU</w:t>
            </w:r>
          </w:p>
        </w:tc>
        <w:tc>
          <w:tcPr>
            <w:tcW w:type="dxa" w:w="7272"/>
            <w:vAlign w:val="center"/>
          </w:tcPr>
          <w:p>
            <w:pPr>
              <w:spacing w:after="0"/>
            </w:pPr>
            <w:r>
              <w:rPr>
                <w:sz w:val="14"/>
              </w:rPr>
              <w:t>Excluded</w:t>
            </w:r>
          </w:p>
        </w:tc>
      </w:tr>
      <w:tr>
        <w:trPr>
          <w:cantSplit/>
        </w:trPr>
        <w:tc>
          <w:tcPr>
            <w:tcW w:type="dxa" w:w="7272"/>
            <w:vAlign w:val="center"/>
            <w:shd w:fill="EAF2F8"/>
          </w:tcPr>
          <w:p>
            <w:pPr>
              <w:spacing w:after="0"/>
            </w:pPr>
            <w:r>
              <w:rPr>
                <w:sz w:val="14"/>
              </w:rPr>
              <w:t>Formal context</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Fixed prompt set version</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Comparison date</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Status values</w:t>
            </w:r>
          </w:p>
        </w:tc>
        <w:tc>
          <w:tcPr>
            <w:tcW w:type="dxa" w:w="7272"/>
            <w:vAlign w:val="center"/>
          </w:tcPr>
          <w:p>
            <w:pPr>
              <w:spacing w:after="0"/>
            </w:pPr>
            <w:r>
              <w:rPr>
                <w:sz w:val="14"/>
              </w:rPr>
              <w:t>Not started / In progress / Pass / Fail / Blocked / Research-only / Not supported</w:t>
            </w:r>
          </w:p>
        </w:tc>
      </w:tr>
      <w:tr>
        <w:trPr>
          <w:cantSplit/>
        </w:trPr>
        <w:tc>
          <w:tcPr>
            <w:tcW w:type="dxa" w:w="7272"/>
            <w:vAlign w:val="center"/>
            <w:shd w:fill="EAF2F8"/>
          </w:tcPr>
          <w:p>
            <w:pPr>
              <w:spacing w:after="0"/>
            </w:pPr>
            <w:r>
              <w:rPr>
                <w:sz w:val="14"/>
              </w:rPr>
              <w:t>Decision values</w:t>
            </w:r>
          </w:p>
        </w:tc>
        <w:tc>
          <w:tcPr>
            <w:tcW w:type="dxa" w:w="7272"/>
            <w:vAlign w:val="center"/>
            <w:shd w:fill="EAF2F8"/>
          </w:tcPr>
          <w:p>
            <w:pPr>
              <w:spacing w:after="0"/>
            </w:pPr>
            <w:r>
              <w:rPr>
                <w:sz w:val="14"/>
              </w:rPr>
              <w:t>Accepted / Accepted with limitations / Experimental / Fallback / Research-only / Rejected / Not supported</w:t>
            </w:r>
          </w:p>
        </w:tc>
      </w:tr>
    </w:tbl>
    <w:p>
      <w:pPr>
        <w:spacing w:after="40"/>
      </w:pPr>
    </w:p>
    <w:p>
      <w:pPr>
        <w:pStyle w:val="Heading2"/>
      </w:pPr>
      <w:r>
        <w:t>2. Route completion and role</w:t>
      </w:r>
    </w:p>
    <w:tbl>
      <w:tblPr>
        <w:tblStyle w:val="TableGrid"/>
        <w:tblW w:type="auto" w:w="0"/>
        <w:tblLayout w:type="autofit"/>
        <w:tblLook w:firstColumn="1" w:firstRow="1" w:lastColumn="0" w:lastRow="0" w:noHBand="0" w:noVBand="1" w:val="04A0"/>
      </w:tblPr>
      <w:tblGrid>
        <w:gridCol w:w="2078"/>
        <w:gridCol w:w="2078"/>
        <w:gridCol w:w="2078"/>
        <w:gridCol w:w="2078"/>
        <w:gridCol w:w="2078"/>
        <w:gridCol w:w="2078"/>
        <w:gridCol w:w="2078"/>
      </w:tblGrid>
      <w:tr>
        <w:trPr>
          <w:cantSplit/>
          <w:tblHeader w:val="true"/>
        </w:trPr>
        <w:tc>
          <w:tcPr>
            <w:tcW w:type="dxa" w:w="2078"/>
            <w:shd w:fill="1F4E78"/>
            <w:vAlign w:val="center"/>
          </w:tcPr>
          <w:p>
            <w:r>
              <w:rPr>
                <w:b/>
                <w:color w:val="FFFFFF"/>
                <w:sz w:val="14"/>
              </w:rPr>
              <w:t>Route</w:t>
            </w:r>
          </w:p>
        </w:tc>
        <w:tc>
          <w:tcPr>
            <w:tcW w:type="dxa" w:w="2078"/>
            <w:shd w:fill="1F4E78"/>
            <w:vAlign w:val="center"/>
          </w:tcPr>
          <w:p>
            <w:r>
              <w:rPr>
                <w:b/>
                <w:color w:val="FFFFFF"/>
                <w:sz w:val="14"/>
              </w:rPr>
              <w:t>Purpose</w:t>
            </w:r>
          </w:p>
        </w:tc>
        <w:tc>
          <w:tcPr>
            <w:tcW w:type="dxa" w:w="2078"/>
            <w:shd w:fill="1F4E78"/>
            <w:vAlign w:val="center"/>
          </w:tcPr>
          <w:p>
            <w:r>
              <w:rPr>
                <w:b/>
                <w:color w:val="FFFFFF"/>
                <w:sz w:val="14"/>
              </w:rPr>
              <w:t>Build</w:t>
            </w:r>
          </w:p>
        </w:tc>
        <w:tc>
          <w:tcPr>
            <w:tcW w:type="dxa" w:w="2078"/>
            <w:shd w:fill="1F4E78"/>
            <w:vAlign w:val="center"/>
          </w:tcPr>
          <w:p>
            <w:r>
              <w:rPr>
                <w:b/>
                <w:color w:val="FFFFFF"/>
                <w:sz w:val="14"/>
              </w:rPr>
              <w:t>Diagnostic</w:t>
            </w:r>
          </w:p>
        </w:tc>
        <w:tc>
          <w:tcPr>
            <w:tcW w:type="dxa" w:w="2078"/>
            <w:shd w:fill="1F4E78"/>
            <w:vAlign w:val="center"/>
          </w:tcPr>
          <w:p>
            <w:r>
              <w:rPr>
                <w:b/>
                <w:color w:val="FFFFFF"/>
                <w:sz w:val="14"/>
              </w:rPr>
              <w:t>Granite 3B</w:t>
            </w:r>
          </w:p>
        </w:tc>
        <w:tc>
          <w:tcPr>
            <w:tcW w:type="dxa" w:w="2078"/>
            <w:shd w:fill="1F4E78"/>
            <w:vAlign w:val="center"/>
          </w:tcPr>
          <w:p>
            <w:r>
              <w:rPr>
                <w:b/>
                <w:color w:val="FFFFFF"/>
                <w:sz w:val="14"/>
              </w:rPr>
              <w:t>Granite 8B</w:t>
            </w:r>
          </w:p>
        </w:tc>
        <w:tc>
          <w:tcPr>
            <w:tcW w:type="dxa" w:w="2078"/>
            <w:shd w:fill="1F4E78"/>
            <w:vAlign w:val="center"/>
          </w:tcPr>
          <w:p>
            <w:r>
              <w:rPr>
                <w:b/>
                <w:color w:val="FFFFFF"/>
                <w:sz w:val="14"/>
              </w:rPr>
              <w:t>Final role</w:t>
            </w:r>
          </w:p>
        </w:tc>
      </w:tr>
      <w:tr>
        <w:trPr>
          <w:cantSplit/>
        </w:trPr>
        <w:tc>
          <w:tcPr>
            <w:tcW w:type="dxa" w:w="2078"/>
            <w:vAlign w:val="center"/>
          </w:tcPr>
          <w:p>
            <w:pPr>
              <w:spacing w:after="0"/>
            </w:pPr>
            <w:r>
              <w:rPr>
                <w:sz w:val="14"/>
              </w:rPr>
              <w:t>Upstream llama.cpp</w:t>
            </w:r>
          </w:p>
        </w:tc>
        <w:tc>
          <w:tcPr>
            <w:tcW w:type="dxa" w:w="2078"/>
            <w:vAlign w:val="center"/>
          </w:tcPr>
          <w:p>
            <w:pPr>
              <w:spacing w:after="0"/>
            </w:pPr>
            <w:r>
              <w:rPr>
                <w:sz w:val="14"/>
              </w:rPr>
              <w:t>Standard GGUF reference</w:t>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r>
      <w:tr>
        <w:trPr>
          <w:cantSplit/>
        </w:trPr>
        <w:tc>
          <w:tcPr>
            <w:tcW w:type="dxa" w:w="2078"/>
            <w:vAlign w:val="center"/>
            <w:shd w:fill="EAF2F8"/>
          </w:tcPr>
          <w:p>
            <w:pPr>
              <w:spacing w:after="0"/>
            </w:pPr>
            <w:r>
              <w:rPr>
                <w:sz w:val="14"/>
              </w:rPr>
              <w:t>AtomicBot</w:t>
            </w:r>
          </w:p>
        </w:tc>
        <w:tc>
          <w:tcPr>
            <w:tcW w:type="dxa" w:w="2078"/>
            <w:vAlign w:val="center"/>
            <w:shd w:fill="EAF2F8"/>
          </w:tcPr>
          <w:p>
            <w:pPr>
              <w:spacing w:after="0"/>
            </w:pPr>
            <w:r>
              <w:rPr>
                <w:sz w:val="14"/>
              </w:rPr>
              <w:t>llama.cpp TurboQuant candidate</w:t>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r>
      <w:tr>
        <w:trPr>
          <w:cantSplit/>
        </w:trPr>
        <w:tc>
          <w:tcPr>
            <w:tcW w:type="dxa" w:w="2078"/>
            <w:vAlign w:val="center"/>
          </w:tcPr>
          <w:p>
            <w:pPr>
              <w:spacing w:after="0"/>
            </w:pPr>
            <w:r>
              <w:rPr>
                <w:sz w:val="14"/>
              </w:rPr>
              <w:t>animehacker</w:t>
            </w:r>
          </w:p>
        </w:tc>
        <w:tc>
          <w:tcPr>
            <w:tcW w:type="dxa" w:w="2078"/>
            <w:vAlign w:val="center"/>
          </w:tcPr>
          <w:p>
            <w:pPr>
              <w:spacing w:after="0"/>
            </w:pPr>
            <w:r>
              <w:rPr>
                <w:sz w:val="14"/>
              </w:rPr>
              <w:t>TQ3_0 comparator</w:t>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r>
      <w:tr>
        <w:trPr>
          <w:cantSplit/>
        </w:trPr>
        <w:tc>
          <w:tcPr>
            <w:tcW w:type="dxa" w:w="2078"/>
            <w:vAlign w:val="center"/>
            <w:shd w:fill="EAF2F8"/>
          </w:tcPr>
          <w:p>
            <w:pPr>
              <w:spacing w:after="0"/>
            </w:pPr>
            <w:r>
              <w:rPr>
                <w:sz w:val="14"/>
              </w:rPr>
              <w:t>Official OpenVINO</w:t>
            </w:r>
          </w:p>
        </w:tc>
        <w:tc>
          <w:tcPr>
            <w:tcW w:type="dxa" w:w="2078"/>
            <w:vAlign w:val="center"/>
            <w:shd w:fill="EAF2F8"/>
          </w:tcPr>
          <w:p>
            <w:pPr>
              <w:spacing w:after="0"/>
            </w:pPr>
            <w:r>
              <w:rPr>
                <w:sz w:val="14"/>
              </w:rPr>
              <w:t>Official CPU/GPU baseline plus merged TBQ3/TBQ4</w:t>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c>
          <w:tcPr>
            <w:tcW w:type="dxa" w:w="2078"/>
            <w:vAlign w:val="center"/>
            <w:shd w:fill="EAF2F8"/>
          </w:tcPr>
          <w:p>
            <w:pPr>
              <w:spacing w:after="0"/>
            </w:pPr>
            <w:r>
              <w:rPr>
                <w:sz w:val="14"/>
              </w:rPr>
            </w:r>
          </w:p>
        </w:tc>
      </w:tr>
      <w:tr>
        <w:trPr>
          <w:cantSplit/>
        </w:trPr>
        <w:tc>
          <w:tcPr>
            <w:tcW w:type="dxa" w:w="2078"/>
            <w:vAlign w:val="center"/>
          </w:tcPr>
          <w:p>
            <w:pPr>
              <w:spacing w:after="0"/>
            </w:pPr>
            <w:r>
              <w:rPr>
                <w:sz w:val="14"/>
              </w:rPr>
              <w:t>Custom OpenVINO</w:t>
            </w:r>
          </w:p>
        </w:tc>
        <w:tc>
          <w:tcPr>
            <w:tcW w:type="dxa" w:w="2078"/>
            <w:vAlign w:val="center"/>
          </w:tcPr>
          <w:p>
            <w:pPr>
              <w:spacing w:after="0"/>
            </w:pPr>
            <w:r>
              <w:rPr>
                <w:sz w:val="14"/>
              </w:rPr>
              <w:t>Experimental CPU SDPA TBQ, QJL and Polar codec suite</w:t>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c>
          <w:tcPr>
            <w:tcW w:type="dxa" w:w="2078"/>
            <w:vAlign w:val="center"/>
          </w:tcPr>
          <w:p>
            <w:pPr>
              <w:spacing w:after="0"/>
            </w:pPr>
            <w:r>
              <w:rPr>
                <w:sz w:val="14"/>
              </w:rPr>
            </w:r>
          </w:p>
        </w:tc>
      </w:tr>
    </w:tbl>
    <w:p>
      <w:pPr>
        <w:spacing w:after="40"/>
      </w:pPr>
    </w:p>
    <w:p>
      <w:pPr>
        <w:pStyle w:val="Heading1"/>
      </w:pPr>
      <w:r>
        <w:t>3. Model and device compatibility matrix</w:t>
      </w:r>
    </w:p>
    <w:tbl>
      <w:tblPr>
        <w:tblStyle w:val="TableGrid"/>
        <w:tblW w:type="auto" w:w="0"/>
        <w:tblLayout w:type="autofit"/>
        <w:tblLook w:firstColumn="1" w:firstRow="1" w:lastColumn="0" w:lastRow="0" w:noHBand="0" w:noVBand="1" w:val="04A0"/>
      </w:tblPr>
      <w:tblGrid>
        <w:gridCol w:w="1818"/>
        <w:gridCol w:w="1818"/>
        <w:gridCol w:w="1818"/>
        <w:gridCol w:w="1818"/>
        <w:gridCol w:w="1818"/>
        <w:gridCol w:w="1818"/>
        <w:gridCol w:w="1818"/>
        <w:gridCol w:w="1818"/>
      </w:tblGrid>
      <w:tr>
        <w:trPr>
          <w:cantSplit/>
          <w:tblHeader w:val="true"/>
        </w:trPr>
        <w:tc>
          <w:tcPr>
            <w:tcW w:type="dxa" w:w="1818"/>
            <w:shd w:fill="1F4E78"/>
            <w:vAlign w:val="center"/>
          </w:tcPr>
          <w:p>
            <w:r>
              <w:rPr>
                <w:b/>
                <w:color w:val="FFFFFF"/>
                <w:sz w:val="14"/>
              </w:rPr>
              <w:t>Route</w:t>
            </w:r>
          </w:p>
        </w:tc>
        <w:tc>
          <w:tcPr>
            <w:tcW w:type="dxa" w:w="1818"/>
            <w:shd w:fill="1F4E78"/>
            <w:vAlign w:val="center"/>
          </w:tcPr>
          <w:p>
            <w:r>
              <w:rPr>
                <w:b/>
                <w:color w:val="FFFFFF"/>
                <w:sz w:val="14"/>
              </w:rPr>
              <w:t>3B CPU</w:t>
            </w:r>
          </w:p>
        </w:tc>
        <w:tc>
          <w:tcPr>
            <w:tcW w:type="dxa" w:w="1818"/>
            <w:shd w:fill="1F4E78"/>
            <w:vAlign w:val="center"/>
          </w:tcPr>
          <w:p>
            <w:r>
              <w:rPr>
                <w:b/>
                <w:color w:val="FFFFFF"/>
                <w:sz w:val="14"/>
              </w:rPr>
              <w:t>3B GPU</w:t>
            </w:r>
          </w:p>
        </w:tc>
        <w:tc>
          <w:tcPr>
            <w:tcW w:type="dxa" w:w="1818"/>
            <w:shd w:fill="1F4E78"/>
            <w:vAlign w:val="center"/>
          </w:tcPr>
          <w:p>
            <w:r>
              <w:rPr>
                <w:b/>
                <w:color w:val="FFFFFF"/>
                <w:sz w:val="14"/>
              </w:rPr>
              <w:t>8B CPU</w:t>
            </w:r>
          </w:p>
        </w:tc>
        <w:tc>
          <w:tcPr>
            <w:tcW w:type="dxa" w:w="1818"/>
            <w:shd w:fill="1F4E78"/>
            <w:vAlign w:val="center"/>
          </w:tcPr>
          <w:p>
            <w:r>
              <w:rPr>
                <w:b/>
                <w:color w:val="FFFFFF"/>
                <w:sz w:val="14"/>
              </w:rPr>
              <w:t>8B GPU</w:t>
            </w:r>
          </w:p>
        </w:tc>
        <w:tc>
          <w:tcPr>
            <w:tcW w:type="dxa" w:w="1818"/>
            <w:shd w:fill="1F4E78"/>
            <w:vAlign w:val="center"/>
          </w:tcPr>
          <w:p>
            <w:r>
              <w:rPr>
                <w:b/>
                <w:color w:val="FFFFFF"/>
                <w:sz w:val="14"/>
              </w:rPr>
              <w:t>TurboQuant CPU</w:t>
            </w:r>
          </w:p>
        </w:tc>
        <w:tc>
          <w:tcPr>
            <w:tcW w:type="dxa" w:w="1818"/>
            <w:shd w:fill="1F4E78"/>
            <w:vAlign w:val="center"/>
          </w:tcPr>
          <w:p>
            <w:r>
              <w:rPr>
                <w:b/>
                <w:color w:val="FFFFFF"/>
                <w:sz w:val="14"/>
              </w:rPr>
              <w:t>TurboQuant GPU</w:t>
            </w:r>
          </w:p>
        </w:tc>
        <w:tc>
          <w:tcPr>
            <w:tcW w:type="dxa" w:w="1818"/>
            <w:shd w:fill="1F4E78"/>
            <w:vAlign w:val="center"/>
          </w:tcPr>
          <w:p>
            <w:r>
              <w:rPr>
                <w:b/>
                <w:color w:val="FFFFFF"/>
                <w:sz w:val="14"/>
              </w:rPr>
              <w:t>CPU fallback / hybrid notes</w:t>
            </w:r>
          </w:p>
        </w:tc>
      </w:tr>
      <w:tr>
        <w:trPr>
          <w:cantSplit/>
        </w:trPr>
        <w:tc>
          <w:tcPr>
            <w:tcW w:type="dxa" w:w="1818"/>
            <w:vAlign w:val="center"/>
          </w:tcPr>
          <w:p>
            <w:pPr>
              <w:spacing w:after="0"/>
            </w:pPr>
            <w:r>
              <w:rPr>
                <w:sz w:val="14"/>
              </w:rPr>
              <w:t>Upstream llama.cpp</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AtomicBot</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animehacker</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Official OpenVINO</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Custom OpenVINO</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bl>
    <w:p>
      <w:pPr>
        <w:spacing w:after="40"/>
      </w:pPr>
    </w:p>
    <w:p>
      <w:pPr>
        <w:pStyle w:val="Heading1"/>
      </w:pPr>
      <w:r>
        <w:t>4. Granite 3B results in one view</w:t>
      </w:r>
    </w:p>
    <w:tbl>
      <w:tblPr>
        <w:tblStyle w:val="TableGrid"/>
        <w:tblW w:type="auto" w:w="0"/>
        <w:tblLayout w:type="autofit"/>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cantSplit/>
          <w:tblHeader w:val="true"/>
        </w:trPr>
        <w:tc>
          <w:tcPr>
            <w:tcW w:type="dxa" w:w="1212"/>
            <w:shd w:fill="1F4E78"/>
            <w:vAlign w:val="center"/>
          </w:tcPr>
          <w:p>
            <w:r>
              <w:rPr>
                <w:b/>
                <w:color w:val="FFFFFF"/>
                <w:sz w:val="14"/>
              </w:rPr>
              <w:t>Route</w:t>
            </w:r>
          </w:p>
        </w:tc>
        <w:tc>
          <w:tcPr>
            <w:tcW w:type="dxa" w:w="1212"/>
            <w:shd w:fill="1F4E78"/>
            <w:vAlign w:val="center"/>
          </w:tcPr>
          <w:p>
            <w:r>
              <w:rPr>
                <w:b/>
                <w:color w:val="FFFFFF"/>
                <w:sz w:val="14"/>
              </w:rPr>
              <w:t>Configuration</w:t>
            </w:r>
          </w:p>
        </w:tc>
        <w:tc>
          <w:tcPr>
            <w:tcW w:type="dxa" w:w="1212"/>
            <w:shd w:fill="1F4E78"/>
            <w:vAlign w:val="center"/>
          </w:tcPr>
          <w:p>
            <w:r>
              <w:rPr>
                <w:b/>
                <w:color w:val="FFFFFF"/>
                <w:sz w:val="14"/>
              </w:rPr>
              <w:t>Device</w:t>
            </w:r>
          </w:p>
        </w:tc>
        <w:tc>
          <w:tcPr>
            <w:tcW w:type="dxa" w:w="1212"/>
            <w:shd w:fill="1F4E78"/>
            <w:vAlign w:val="center"/>
          </w:tcPr>
          <w:p>
            <w:r>
              <w:rPr>
                <w:b/>
                <w:color w:val="FFFFFF"/>
                <w:sz w:val="14"/>
              </w:rPr>
              <w:t>Context</w:t>
            </w:r>
          </w:p>
        </w:tc>
        <w:tc>
          <w:tcPr>
            <w:tcW w:type="dxa" w:w="1212"/>
            <w:shd w:fill="1F4E78"/>
            <w:vAlign w:val="center"/>
          </w:tcPr>
          <w:p>
            <w:r>
              <w:rPr>
                <w:b/>
                <w:color w:val="FFFFFF"/>
                <w:sz w:val="14"/>
              </w:rPr>
              <w:t>Peak RAM MB</w:t>
            </w:r>
          </w:p>
        </w:tc>
        <w:tc>
          <w:tcPr>
            <w:tcW w:type="dxa" w:w="1212"/>
            <w:shd w:fill="1F4E78"/>
            <w:vAlign w:val="center"/>
          </w:tcPr>
          <w:p>
            <w:r>
              <w:rPr>
                <w:b/>
                <w:color w:val="FFFFFF"/>
                <w:sz w:val="14"/>
              </w:rPr>
              <w:t>KV MB</w:t>
            </w:r>
          </w:p>
        </w:tc>
        <w:tc>
          <w:tcPr>
            <w:tcW w:type="dxa" w:w="1212"/>
            <w:shd w:fill="1F4E78"/>
            <w:vAlign w:val="center"/>
          </w:tcPr>
          <w:p>
            <w:r>
              <w:rPr>
                <w:b/>
                <w:color w:val="FFFFFF"/>
                <w:sz w:val="14"/>
              </w:rPr>
              <w:t>Load ms</w:t>
            </w:r>
          </w:p>
        </w:tc>
        <w:tc>
          <w:tcPr>
            <w:tcW w:type="dxa" w:w="1212"/>
            <w:shd w:fill="1F4E78"/>
            <w:vAlign w:val="center"/>
          </w:tcPr>
          <w:p>
            <w:r>
              <w:rPr>
                <w:b/>
                <w:color w:val="FFFFFF"/>
                <w:sz w:val="14"/>
              </w:rPr>
              <w:t>TTFT ms</w:t>
            </w:r>
          </w:p>
        </w:tc>
        <w:tc>
          <w:tcPr>
            <w:tcW w:type="dxa" w:w="1212"/>
            <w:shd w:fill="1F4E78"/>
            <w:vAlign w:val="center"/>
          </w:tcPr>
          <w:p>
            <w:r>
              <w:rPr>
                <w:b/>
                <w:color w:val="FFFFFF"/>
                <w:sz w:val="14"/>
              </w:rPr>
              <w:t>Tok/s</w:t>
            </w:r>
          </w:p>
        </w:tc>
        <w:tc>
          <w:tcPr>
            <w:tcW w:type="dxa" w:w="1212"/>
            <w:shd w:fill="1F4E78"/>
            <w:vAlign w:val="center"/>
          </w:tcPr>
          <w:p>
            <w:r>
              <w:rPr>
                <w:b/>
                <w:color w:val="FFFFFF"/>
                <w:sz w:val="14"/>
              </w:rPr>
              <w:t>Quality /10</w:t>
            </w:r>
          </w:p>
        </w:tc>
        <w:tc>
          <w:tcPr>
            <w:tcW w:type="dxa" w:w="1212"/>
            <w:shd w:fill="1F4E78"/>
            <w:vAlign w:val="center"/>
          </w:tcPr>
          <w:p>
            <w:r>
              <w:rPr>
                <w:b/>
                <w:color w:val="FFFFFF"/>
                <w:sz w:val="14"/>
              </w:rPr>
              <w:t>Stable?</w:t>
            </w:r>
          </w:p>
        </w:tc>
        <w:tc>
          <w:tcPr>
            <w:tcW w:type="dxa" w:w="1212"/>
            <w:shd w:fill="1F4E78"/>
            <w:vAlign w:val="center"/>
          </w:tcPr>
          <w:p>
            <w:r>
              <w:rPr>
                <w:b/>
                <w:color w:val="FFFFFF"/>
                <w:sz w:val="14"/>
              </w:rPr>
              <w:t>Evidence</w:t>
            </w:r>
          </w:p>
        </w:tc>
      </w:tr>
      <w:tr>
        <w:trPr>
          <w:cantSplit/>
        </w:trPr>
        <w:tc>
          <w:tcPr>
            <w:tcW w:type="dxa" w:w="1212"/>
            <w:vAlign w:val="center"/>
          </w:tcPr>
          <w:p>
            <w:pPr>
              <w:spacing w:after="0"/>
            </w:pPr>
            <w:r>
              <w:rPr>
                <w:sz w:val="14"/>
              </w:rPr>
              <w:t>llama.cpp high-quality</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llama.cpp practical</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AtomicBot best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AtomicBot best TQ</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animehacker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animehacker TQ3_0</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Official OV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Official OV TBQ4</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Official OV TBQ3</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Official OV GPU/fallback</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Custom OV TBQ4</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TBQ3</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Custom OV TBQ4+QJL</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TBQ3+QJL</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Custom OV Polar4</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Polar3</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bl>
    <w:p>
      <w:pPr>
        <w:spacing w:after="40"/>
      </w:pPr>
    </w:p>
    <w:p>
      <w:pPr>
        <w:pStyle w:val="Heading2"/>
      </w:pPr>
      <w:r>
        <w:t>5. Granite 3B conclusions</w:t>
      </w:r>
    </w:p>
    <w:tbl>
      <w:tblPr>
        <w:tblStyle w:val="TableGrid"/>
        <w:tblW w:type="auto" w:w="0"/>
        <w:tblLayout w:type="autofit"/>
        <w:tblLook w:firstColumn="1" w:firstRow="1" w:lastColumn="0" w:lastRow="0" w:noHBand="0" w:noVBand="1" w:val="04A0"/>
      </w:tblPr>
      <w:tblGrid>
        <w:gridCol w:w="7272"/>
        <w:gridCol w:w="7272"/>
      </w:tblGrid>
      <w:tr>
        <w:trPr>
          <w:cantSplit/>
          <w:tblHeader w:val="true"/>
        </w:trPr>
        <w:tc>
          <w:tcPr>
            <w:tcW w:type="dxa" w:w="7272"/>
            <w:shd w:fill="1F4E78"/>
            <w:vAlign w:val="center"/>
          </w:tcPr>
          <w:p>
            <w:r>
              <w:rPr>
                <w:b/>
                <w:color w:val="FFFFFF"/>
                <w:sz w:val="14"/>
              </w:rPr>
              <w:t>Field</w:t>
            </w:r>
          </w:p>
        </w:tc>
        <w:tc>
          <w:tcPr>
            <w:tcW w:type="dxa" w:w="7272"/>
            <w:shd w:fill="1F4E78"/>
            <w:vAlign w:val="center"/>
          </w:tcPr>
          <w:p>
            <w:r>
              <w:rPr>
                <w:b/>
                <w:color w:val="FFFFFF"/>
                <w:sz w:val="14"/>
              </w:rPr>
              <w:t>Record</w:t>
            </w:r>
          </w:p>
        </w:tc>
      </w:tr>
      <w:tr>
        <w:trPr>
          <w:cantSplit/>
        </w:trPr>
        <w:tc>
          <w:tcPr>
            <w:tcW w:type="dxa" w:w="7272"/>
            <w:vAlign w:val="center"/>
          </w:tcPr>
          <w:p>
            <w:pPr>
              <w:spacing w:after="0"/>
            </w:pPr>
            <w:r>
              <w:rPr>
                <w:sz w:val="14"/>
              </w:rPr>
              <w:t>Best quality configuration</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Lowest-memory configuration</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Fastest CPU configuration</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Fastest GPU configuration</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Best practical configuration</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Best TurboQuant configuration</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Maximum stable context</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Main limitations</w:t>
            </w:r>
          </w:p>
        </w:tc>
        <w:tc>
          <w:tcPr>
            <w:tcW w:type="dxa" w:w="7272"/>
            <w:vAlign w:val="center"/>
            <w:shd w:fill="EAF2F8"/>
          </w:tcPr>
          <w:p>
            <w:pPr>
              <w:spacing w:after="0"/>
            </w:pPr>
            <w:r>
              <w:rPr>
                <w:sz w:val="14"/>
              </w:rPr>
            </w:r>
          </w:p>
        </w:tc>
      </w:tr>
    </w:tbl>
    <w:p>
      <w:pPr>
        <w:spacing w:after="40"/>
      </w:pPr>
    </w:p>
    <w:p>
      <w:pPr>
        <w:pStyle w:val="Heading1"/>
      </w:pPr>
      <w:r>
        <w:t>6. Granite 8B results in one view</w:t>
      </w:r>
    </w:p>
    <w:tbl>
      <w:tblPr>
        <w:tblStyle w:val="TableGrid"/>
        <w:tblW w:type="auto" w:w="0"/>
        <w:tblLayout w:type="autofit"/>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cantSplit/>
          <w:tblHeader w:val="true"/>
        </w:trPr>
        <w:tc>
          <w:tcPr>
            <w:tcW w:type="dxa" w:w="1212"/>
            <w:shd w:fill="1F4E78"/>
            <w:vAlign w:val="center"/>
          </w:tcPr>
          <w:p>
            <w:r>
              <w:rPr>
                <w:b/>
                <w:color w:val="FFFFFF"/>
                <w:sz w:val="14"/>
              </w:rPr>
              <w:t>Route</w:t>
            </w:r>
          </w:p>
        </w:tc>
        <w:tc>
          <w:tcPr>
            <w:tcW w:type="dxa" w:w="1212"/>
            <w:shd w:fill="1F4E78"/>
            <w:vAlign w:val="center"/>
          </w:tcPr>
          <w:p>
            <w:r>
              <w:rPr>
                <w:b/>
                <w:color w:val="FFFFFF"/>
                <w:sz w:val="14"/>
              </w:rPr>
              <w:t>Configuration</w:t>
            </w:r>
          </w:p>
        </w:tc>
        <w:tc>
          <w:tcPr>
            <w:tcW w:type="dxa" w:w="1212"/>
            <w:shd w:fill="1F4E78"/>
            <w:vAlign w:val="center"/>
          </w:tcPr>
          <w:p>
            <w:r>
              <w:rPr>
                <w:b/>
                <w:color w:val="FFFFFF"/>
                <w:sz w:val="14"/>
              </w:rPr>
              <w:t>Device</w:t>
            </w:r>
          </w:p>
        </w:tc>
        <w:tc>
          <w:tcPr>
            <w:tcW w:type="dxa" w:w="1212"/>
            <w:shd w:fill="1F4E78"/>
            <w:vAlign w:val="center"/>
          </w:tcPr>
          <w:p>
            <w:r>
              <w:rPr>
                <w:b/>
                <w:color w:val="FFFFFF"/>
                <w:sz w:val="14"/>
              </w:rPr>
              <w:t>Context</w:t>
            </w:r>
          </w:p>
        </w:tc>
        <w:tc>
          <w:tcPr>
            <w:tcW w:type="dxa" w:w="1212"/>
            <w:shd w:fill="1F4E78"/>
            <w:vAlign w:val="center"/>
          </w:tcPr>
          <w:p>
            <w:r>
              <w:rPr>
                <w:b/>
                <w:color w:val="FFFFFF"/>
                <w:sz w:val="14"/>
              </w:rPr>
              <w:t>Peak RAM MB</w:t>
            </w:r>
          </w:p>
        </w:tc>
        <w:tc>
          <w:tcPr>
            <w:tcW w:type="dxa" w:w="1212"/>
            <w:shd w:fill="1F4E78"/>
            <w:vAlign w:val="center"/>
          </w:tcPr>
          <w:p>
            <w:r>
              <w:rPr>
                <w:b/>
                <w:color w:val="FFFFFF"/>
                <w:sz w:val="14"/>
              </w:rPr>
              <w:t>KV MB</w:t>
            </w:r>
          </w:p>
        </w:tc>
        <w:tc>
          <w:tcPr>
            <w:tcW w:type="dxa" w:w="1212"/>
            <w:shd w:fill="1F4E78"/>
            <w:vAlign w:val="center"/>
          </w:tcPr>
          <w:p>
            <w:r>
              <w:rPr>
                <w:b/>
                <w:color w:val="FFFFFF"/>
                <w:sz w:val="14"/>
              </w:rPr>
              <w:t>Load ms</w:t>
            </w:r>
          </w:p>
        </w:tc>
        <w:tc>
          <w:tcPr>
            <w:tcW w:type="dxa" w:w="1212"/>
            <w:shd w:fill="1F4E78"/>
            <w:vAlign w:val="center"/>
          </w:tcPr>
          <w:p>
            <w:r>
              <w:rPr>
                <w:b/>
                <w:color w:val="FFFFFF"/>
                <w:sz w:val="14"/>
              </w:rPr>
              <w:t>TTFT ms</w:t>
            </w:r>
          </w:p>
        </w:tc>
        <w:tc>
          <w:tcPr>
            <w:tcW w:type="dxa" w:w="1212"/>
            <w:shd w:fill="1F4E78"/>
            <w:vAlign w:val="center"/>
          </w:tcPr>
          <w:p>
            <w:r>
              <w:rPr>
                <w:b/>
                <w:color w:val="FFFFFF"/>
                <w:sz w:val="14"/>
              </w:rPr>
              <w:t>Tok/s</w:t>
            </w:r>
          </w:p>
        </w:tc>
        <w:tc>
          <w:tcPr>
            <w:tcW w:type="dxa" w:w="1212"/>
            <w:shd w:fill="1F4E78"/>
            <w:vAlign w:val="center"/>
          </w:tcPr>
          <w:p>
            <w:r>
              <w:rPr>
                <w:b/>
                <w:color w:val="FFFFFF"/>
                <w:sz w:val="14"/>
              </w:rPr>
              <w:t>Quality /10</w:t>
            </w:r>
          </w:p>
        </w:tc>
        <w:tc>
          <w:tcPr>
            <w:tcW w:type="dxa" w:w="1212"/>
            <w:shd w:fill="1F4E78"/>
            <w:vAlign w:val="center"/>
          </w:tcPr>
          <w:p>
            <w:r>
              <w:rPr>
                <w:b/>
                <w:color w:val="FFFFFF"/>
                <w:sz w:val="14"/>
              </w:rPr>
              <w:t>Stable?</w:t>
            </w:r>
          </w:p>
        </w:tc>
        <w:tc>
          <w:tcPr>
            <w:tcW w:type="dxa" w:w="1212"/>
            <w:shd w:fill="1F4E78"/>
            <w:vAlign w:val="center"/>
          </w:tcPr>
          <w:p>
            <w:r>
              <w:rPr>
                <w:b/>
                <w:color w:val="FFFFFF"/>
                <w:sz w:val="14"/>
              </w:rPr>
              <w:t>Evidence</w:t>
            </w:r>
          </w:p>
        </w:tc>
      </w:tr>
      <w:tr>
        <w:trPr>
          <w:cantSplit/>
        </w:trPr>
        <w:tc>
          <w:tcPr>
            <w:tcW w:type="dxa" w:w="1212"/>
            <w:vAlign w:val="center"/>
          </w:tcPr>
          <w:p>
            <w:pPr>
              <w:spacing w:after="0"/>
            </w:pPr>
            <w:r>
              <w:rPr>
                <w:sz w:val="14"/>
              </w:rPr>
              <w:t>llama.cpp high-quality fit</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llama.cpp practical</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AtomicBot best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AtomicBot best TQ</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animehacker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animehacker TQ3_0</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Official OV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Official OV TBQ4</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Official OV TBQ3</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Official OV GPU/fallback</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standard</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Custom OV TBQ4</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TBQ3</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Custom OV TBQ4+QJL</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TBQ3+QJL</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r>
        <w:trPr>
          <w:cantSplit/>
        </w:trPr>
        <w:tc>
          <w:tcPr>
            <w:tcW w:type="dxa" w:w="1212"/>
            <w:vAlign w:val="center"/>
            <w:shd w:fill="EAF2F8"/>
          </w:tcPr>
          <w:p>
            <w:pPr>
              <w:spacing w:after="0"/>
            </w:pPr>
            <w:r>
              <w:rPr>
                <w:sz w:val="14"/>
              </w:rPr>
              <w:t>Custom OV Polar4</w:t>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c>
          <w:tcPr>
            <w:tcW w:type="dxa" w:w="1212"/>
            <w:vAlign w:val="center"/>
            <w:shd w:fill="EAF2F8"/>
          </w:tcPr>
          <w:p>
            <w:pPr>
              <w:spacing w:after="0"/>
            </w:pPr>
            <w:r>
              <w:rPr>
                <w:sz w:val="14"/>
              </w:rPr>
            </w:r>
          </w:p>
        </w:tc>
      </w:tr>
      <w:tr>
        <w:trPr>
          <w:cantSplit/>
        </w:trPr>
        <w:tc>
          <w:tcPr>
            <w:tcW w:type="dxa" w:w="1212"/>
            <w:vAlign w:val="center"/>
          </w:tcPr>
          <w:p>
            <w:pPr>
              <w:spacing w:after="0"/>
            </w:pPr>
            <w:r>
              <w:rPr>
                <w:sz w:val="14"/>
              </w:rPr>
              <w:t>Custom OV Polar3</w:t>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c>
          <w:tcPr>
            <w:tcW w:type="dxa" w:w="1212"/>
            <w:vAlign w:val="center"/>
          </w:tcPr>
          <w:p>
            <w:pPr>
              <w:spacing w:after="0"/>
            </w:pPr>
            <w:r>
              <w:rPr>
                <w:sz w:val="14"/>
              </w:rPr>
            </w:r>
          </w:p>
        </w:tc>
      </w:tr>
    </w:tbl>
    <w:p>
      <w:pPr>
        <w:spacing w:after="40"/>
      </w:pPr>
    </w:p>
    <w:p>
      <w:pPr>
        <w:pStyle w:val="Heading2"/>
      </w:pPr>
      <w:r>
        <w:t>7. Granite 8B conclusions</w:t>
      </w:r>
    </w:p>
    <w:tbl>
      <w:tblPr>
        <w:tblStyle w:val="TableGrid"/>
        <w:tblW w:type="auto" w:w="0"/>
        <w:tblLayout w:type="autofit"/>
        <w:tblLook w:firstColumn="1" w:firstRow="1" w:lastColumn="0" w:lastRow="0" w:noHBand="0" w:noVBand="1" w:val="04A0"/>
      </w:tblPr>
      <w:tblGrid>
        <w:gridCol w:w="7272"/>
        <w:gridCol w:w="7272"/>
      </w:tblGrid>
      <w:tr>
        <w:trPr>
          <w:cantSplit/>
          <w:tblHeader w:val="true"/>
        </w:trPr>
        <w:tc>
          <w:tcPr>
            <w:tcW w:type="dxa" w:w="7272"/>
            <w:shd w:fill="1F4E78"/>
            <w:vAlign w:val="center"/>
          </w:tcPr>
          <w:p>
            <w:r>
              <w:rPr>
                <w:b/>
                <w:color w:val="FFFFFF"/>
                <w:sz w:val="14"/>
              </w:rPr>
              <w:t>Field</w:t>
            </w:r>
          </w:p>
        </w:tc>
        <w:tc>
          <w:tcPr>
            <w:tcW w:type="dxa" w:w="7272"/>
            <w:shd w:fill="1F4E78"/>
            <w:vAlign w:val="center"/>
          </w:tcPr>
          <w:p>
            <w:r>
              <w:rPr>
                <w:b/>
                <w:color w:val="FFFFFF"/>
                <w:sz w:val="14"/>
              </w:rPr>
              <w:t>Record</w:t>
            </w:r>
          </w:p>
        </w:tc>
      </w:tr>
      <w:tr>
        <w:trPr>
          <w:cantSplit/>
        </w:trPr>
        <w:tc>
          <w:tcPr>
            <w:tcW w:type="dxa" w:w="7272"/>
            <w:vAlign w:val="center"/>
          </w:tcPr>
          <w:p>
            <w:pPr>
              <w:spacing w:after="0"/>
            </w:pPr>
            <w:r>
              <w:rPr>
                <w:sz w:val="14"/>
              </w:rPr>
              <w:t>Does 8B fit safely?</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Best quality configuration</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Lowest-memory configuration</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Fastest CPU configuration</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Best GPU/hybrid configuration</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Best TurboQuant configuration</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Maximum stable context</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Main limitations</w:t>
            </w:r>
          </w:p>
        </w:tc>
        <w:tc>
          <w:tcPr>
            <w:tcW w:type="dxa" w:w="7272"/>
            <w:vAlign w:val="center"/>
            <w:shd w:fill="EAF2F8"/>
          </w:tcPr>
          <w:p>
            <w:pPr>
              <w:spacing w:after="0"/>
            </w:pPr>
            <w:r>
              <w:rPr>
                <w:sz w:val="14"/>
              </w:rPr>
            </w:r>
          </w:p>
        </w:tc>
      </w:tr>
    </w:tbl>
    <w:p>
      <w:pPr>
        <w:spacing w:after="40"/>
      </w:pPr>
    </w:p>
    <w:p>
      <w:pPr>
        <w:pStyle w:val="Heading1"/>
      </w:pPr>
      <w:r>
        <w:t>8. TurboQuant evidence comparison</w:t>
      </w:r>
    </w:p>
    <w:tbl>
      <w:tblPr>
        <w:tblStyle w:val="TableGrid"/>
        <w:tblW w:type="auto" w:w="0"/>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cantSplit/>
          <w:tblHeader w:val="true"/>
        </w:trPr>
        <w:tc>
          <w:tcPr>
            <w:tcW w:type="dxa" w:w="1454"/>
            <w:shd w:fill="1F4E78"/>
            <w:vAlign w:val="center"/>
          </w:tcPr>
          <w:p>
            <w:r>
              <w:rPr>
                <w:b/>
                <w:color w:val="FFFFFF"/>
                <w:sz w:val="14"/>
              </w:rPr>
              <w:t>Route</w:t>
            </w:r>
          </w:p>
        </w:tc>
        <w:tc>
          <w:tcPr>
            <w:tcW w:type="dxa" w:w="1454"/>
            <w:shd w:fill="1F4E78"/>
            <w:vAlign w:val="center"/>
          </w:tcPr>
          <w:p>
            <w:r>
              <w:rPr>
                <w:b/>
                <w:color w:val="FFFFFF"/>
                <w:sz w:val="14"/>
              </w:rPr>
              <w:t>TQ format</w:t>
            </w:r>
          </w:p>
        </w:tc>
        <w:tc>
          <w:tcPr>
            <w:tcW w:type="dxa" w:w="1454"/>
            <w:shd w:fill="1F4E78"/>
            <w:vAlign w:val="center"/>
          </w:tcPr>
          <w:p>
            <w:r>
              <w:rPr>
                <w:b/>
                <w:color w:val="FFFFFF"/>
                <w:sz w:val="14"/>
              </w:rPr>
              <w:t>Activation confirmed?</w:t>
            </w:r>
          </w:p>
        </w:tc>
        <w:tc>
          <w:tcPr>
            <w:tcW w:type="dxa" w:w="1454"/>
            <w:shd w:fill="1F4E78"/>
            <w:vAlign w:val="center"/>
          </w:tcPr>
          <w:p>
            <w:r>
              <w:rPr>
                <w:b/>
                <w:color w:val="FFFFFF"/>
                <w:sz w:val="14"/>
              </w:rPr>
              <w:t>No silent fallback?</w:t>
            </w:r>
          </w:p>
        </w:tc>
        <w:tc>
          <w:tcPr>
            <w:tcW w:type="dxa" w:w="1454"/>
            <w:shd w:fill="1F4E78"/>
            <w:vAlign w:val="center"/>
          </w:tcPr>
          <w:p>
            <w:r>
              <w:rPr>
                <w:b/>
                <w:color w:val="FFFFFF"/>
                <w:sz w:val="14"/>
              </w:rPr>
              <w:t>Execution device</w:t>
            </w:r>
          </w:p>
        </w:tc>
        <w:tc>
          <w:tcPr>
            <w:tcW w:type="dxa" w:w="1454"/>
            <w:shd w:fill="1F4E78"/>
            <w:vAlign w:val="center"/>
          </w:tcPr>
          <w:p>
            <w:r>
              <w:rPr>
                <w:b/>
                <w:color w:val="FFFFFF"/>
                <w:sz w:val="14"/>
              </w:rPr>
              <w:t>Memory reduction</w:t>
            </w:r>
          </w:p>
        </w:tc>
        <w:tc>
          <w:tcPr>
            <w:tcW w:type="dxa" w:w="1454"/>
            <w:shd w:fill="1F4E78"/>
            <w:vAlign w:val="center"/>
          </w:tcPr>
          <w:p>
            <w:r>
              <w:rPr>
                <w:b/>
                <w:color w:val="FFFFFF"/>
                <w:sz w:val="14"/>
              </w:rPr>
              <w:t>Speed effect</w:t>
            </w:r>
          </w:p>
        </w:tc>
        <w:tc>
          <w:tcPr>
            <w:tcW w:type="dxa" w:w="1454"/>
            <w:shd w:fill="1F4E78"/>
            <w:vAlign w:val="center"/>
          </w:tcPr>
          <w:p>
            <w:r>
              <w:rPr>
                <w:b/>
                <w:color w:val="FFFFFF"/>
                <w:sz w:val="14"/>
              </w:rPr>
              <w:t>Quality effect</w:t>
            </w:r>
          </w:p>
        </w:tc>
        <w:tc>
          <w:tcPr>
            <w:tcW w:type="dxa" w:w="1454"/>
            <w:shd w:fill="1F4E78"/>
            <w:vAlign w:val="center"/>
          </w:tcPr>
          <w:p>
            <w:r>
              <w:rPr>
                <w:b/>
                <w:color w:val="FFFFFF"/>
                <w:sz w:val="14"/>
              </w:rPr>
              <w:t>Implementation class</w:t>
            </w:r>
          </w:p>
        </w:tc>
        <w:tc>
          <w:tcPr>
            <w:tcW w:type="dxa" w:w="1454"/>
            <w:shd w:fill="1F4E78"/>
            <w:vAlign w:val="center"/>
          </w:tcPr>
          <w:p>
            <w:r>
              <w:rPr>
                <w:b/>
                <w:color w:val="FFFFFF"/>
                <w:sz w:val="14"/>
              </w:rPr>
              <w:t>Evidence</w:t>
            </w:r>
          </w:p>
        </w:tc>
      </w:tr>
      <w:tr>
        <w:trPr>
          <w:cantSplit/>
        </w:trPr>
        <w:tc>
          <w:tcPr>
            <w:tcW w:type="dxa" w:w="1454"/>
            <w:vAlign w:val="center"/>
          </w:tcPr>
          <w:p>
            <w:pPr>
              <w:spacing w:after="0"/>
            </w:pPr>
            <w:r>
              <w:rPr>
                <w:sz w:val="14"/>
              </w:rPr>
              <w:t>AtomicBot</w:t>
            </w:r>
          </w:p>
        </w:tc>
        <w:tc>
          <w:tcPr>
            <w:tcW w:type="dxa" w:w="1454"/>
            <w:vAlign w:val="center"/>
          </w:tcPr>
          <w:p>
            <w:pPr>
              <w:spacing w:after="0"/>
            </w:pPr>
            <w:r>
              <w:rPr>
                <w:sz w:val="14"/>
              </w:rPr>
              <w:t>turbo4</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r>
      <w:tr>
        <w:trPr>
          <w:cantSplit/>
        </w:trPr>
        <w:tc>
          <w:tcPr>
            <w:tcW w:type="dxa" w:w="1454"/>
            <w:vAlign w:val="center"/>
            <w:shd w:fill="EAF2F8"/>
          </w:tcPr>
          <w:p>
            <w:pPr>
              <w:spacing w:after="0"/>
            </w:pPr>
            <w:r>
              <w:rPr>
                <w:sz w:val="14"/>
              </w:rPr>
              <w:t>AtomicBot</w:t>
            </w:r>
          </w:p>
        </w:tc>
        <w:tc>
          <w:tcPr>
            <w:tcW w:type="dxa" w:w="1454"/>
            <w:vAlign w:val="center"/>
            <w:shd w:fill="EAF2F8"/>
          </w:tcPr>
          <w:p>
            <w:pPr>
              <w:spacing w:after="0"/>
            </w:pPr>
            <w:r>
              <w:rPr>
                <w:sz w:val="14"/>
              </w:rPr>
              <w:t>turbo3</w:t>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r>
      <w:tr>
        <w:trPr>
          <w:cantSplit/>
        </w:trPr>
        <w:tc>
          <w:tcPr>
            <w:tcW w:type="dxa" w:w="1454"/>
            <w:vAlign w:val="center"/>
          </w:tcPr>
          <w:p>
            <w:pPr>
              <w:spacing w:after="0"/>
            </w:pPr>
            <w:r>
              <w:rPr>
                <w:sz w:val="14"/>
              </w:rPr>
              <w:t>AtomicBot</w:t>
            </w:r>
          </w:p>
        </w:tc>
        <w:tc>
          <w:tcPr>
            <w:tcW w:type="dxa" w:w="1454"/>
            <w:vAlign w:val="center"/>
          </w:tcPr>
          <w:p>
            <w:pPr>
              <w:spacing w:after="0"/>
            </w:pPr>
            <w:r>
              <w:rPr>
                <w:sz w:val="14"/>
              </w:rPr>
              <w:t>turbo2</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r>
      <w:tr>
        <w:trPr>
          <w:cantSplit/>
        </w:trPr>
        <w:tc>
          <w:tcPr>
            <w:tcW w:type="dxa" w:w="1454"/>
            <w:vAlign w:val="center"/>
            <w:shd w:fill="EAF2F8"/>
          </w:tcPr>
          <w:p>
            <w:pPr>
              <w:spacing w:after="0"/>
            </w:pPr>
            <w:r>
              <w:rPr>
                <w:sz w:val="14"/>
              </w:rPr>
              <w:t>animehacker</w:t>
            </w:r>
          </w:p>
        </w:tc>
        <w:tc>
          <w:tcPr>
            <w:tcW w:type="dxa" w:w="1454"/>
            <w:vAlign w:val="center"/>
            <w:shd w:fill="EAF2F8"/>
          </w:tcPr>
          <w:p>
            <w:pPr>
              <w:spacing w:after="0"/>
            </w:pPr>
            <w:r>
              <w:rPr>
                <w:sz w:val="14"/>
              </w:rPr>
              <w:t>TQ3_0</w:t>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r>
      <w:tr>
        <w:trPr>
          <w:cantSplit/>
        </w:trPr>
        <w:tc>
          <w:tcPr>
            <w:tcW w:type="dxa" w:w="1454"/>
            <w:vAlign w:val="center"/>
          </w:tcPr>
          <w:p>
            <w:pPr>
              <w:spacing w:after="0"/>
            </w:pPr>
            <w:r>
              <w:rPr>
                <w:sz w:val="14"/>
              </w:rPr>
              <w:t>Official OpenVINO</w:t>
            </w:r>
          </w:p>
        </w:tc>
        <w:tc>
          <w:tcPr>
            <w:tcW w:type="dxa" w:w="1454"/>
            <w:vAlign w:val="center"/>
          </w:tcPr>
          <w:p>
            <w:pPr>
              <w:spacing w:after="0"/>
            </w:pPr>
            <w:r>
              <w:rPr>
                <w:sz w:val="14"/>
              </w:rPr>
              <w:t>TBQ4 (U4/U4)</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t>Merged official CPU SDPA</w:t>
            </w:r>
          </w:p>
        </w:tc>
        <w:tc>
          <w:tcPr>
            <w:tcW w:type="dxa" w:w="1454"/>
            <w:vAlign w:val="center"/>
          </w:tcPr>
          <w:p>
            <w:pPr>
              <w:spacing w:after="0"/>
            </w:pPr>
            <w:r>
              <w:rPr>
                <w:sz w:val="14"/>
              </w:rPr>
            </w:r>
          </w:p>
        </w:tc>
      </w:tr>
      <w:tr>
        <w:trPr>
          <w:cantSplit/>
        </w:trPr>
        <w:tc>
          <w:tcPr>
            <w:tcW w:type="dxa" w:w="1454"/>
            <w:vAlign w:val="center"/>
            <w:shd w:fill="EAF2F8"/>
          </w:tcPr>
          <w:p>
            <w:pPr>
              <w:spacing w:after="0"/>
            </w:pPr>
            <w:r>
              <w:rPr>
                <w:sz w:val="14"/>
              </w:rPr>
              <w:t>Official OpenVINO</w:t>
            </w:r>
          </w:p>
        </w:tc>
        <w:tc>
          <w:tcPr>
            <w:tcW w:type="dxa" w:w="1454"/>
            <w:vAlign w:val="center"/>
            <w:shd w:fill="EAF2F8"/>
          </w:tcPr>
          <w:p>
            <w:pPr>
              <w:spacing w:after="0"/>
            </w:pPr>
            <w:r>
              <w:rPr>
                <w:sz w:val="14"/>
              </w:rPr>
              <w:t>TBQ3 (U3/U3)</w:t>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t>Merged official CPU SDPA</w:t>
            </w:r>
          </w:p>
        </w:tc>
        <w:tc>
          <w:tcPr>
            <w:tcW w:type="dxa" w:w="1454"/>
            <w:vAlign w:val="center"/>
            <w:shd w:fill="EAF2F8"/>
          </w:tcPr>
          <w:p>
            <w:pPr>
              <w:spacing w:after="0"/>
            </w:pPr>
            <w:r>
              <w:rPr>
                <w:sz w:val="14"/>
              </w:rPr>
            </w:r>
          </w:p>
        </w:tc>
      </w:tr>
      <w:tr>
        <w:trPr>
          <w:cantSplit/>
        </w:trPr>
        <w:tc>
          <w:tcPr>
            <w:tcW w:type="dxa" w:w="1454"/>
            <w:vAlign w:val="center"/>
          </w:tcPr>
          <w:p>
            <w:pPr>
              <w:spacing w:after="0"/>
            </w:pPr>
            <w:r>
              <w:rPr>
                <w:sz w:val="14"/>
              </w:rPr>
              <w:t>Official OpenVINO</w:t>
            </w:r>
          </w:p>
        </w:tc>
        <w:tc>
          <w:tcPr>
            <w:tcW w:type="dxa" w:w="1454"/>
            <w:vAlign w:val="center"/>
          </w:tcPr>
          <w:p>
            <w:pPr>
              <w:spacing w:after="0"/>
            </w:pPr>
            <w:r>
              <w:rPr>
                <w:sz w:val="14"/>
              </w:rPr>
              <w:t>TBQ4/TBQ3 asymmetric</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t>Merged official CPU SDPA</w:t>
            </w:r>
          </w:p>
        </w:tc>
        <w:tc>
          <w:tcPr>
            <w:tcW w:type="dxa" w:w="1454"/>
            <w:vAlign w:val="center"/>
          </w:tcPr>
          <w:p>
            <w:pPr>
              <w:spacing w:after="0"/>
            </w:pPr>
            <w:r>
              <w:rPr>
                <w:sz w:val="14"/>
              </w:rPr>
            </w:r>
          </w:p>
        </w:tc>
      </w:tr>
      <w:tr>
        <w:trPr>
          <w:cantSplit/>
        </w:trPr>
        <w:tc>
          <w:tcPr>
            <w:tcW w:type="dxa" w:w="1454"/>
            <w:vAlign w:val="center"/>
            <w:shd w:fill="EAF2F8"/>
          </w:tcPr>
          <w:p>
            <w:pPr>
              <w:spacing w:after="0"/>
            </w:pPr>
            <w:r>
              <w:rPr>
                <w:sz w:val="14"/>
              </w:rPr>
              <w:t>Official OpenVINO</w:t>
            </w:r>
          </w:p>
        </w:tc>
        <w:tc>
          <w:tcPr>
            <w:tcW w:type="dxa" w:w="1454"/>
            <w:vAlign w:val="center"/>
            <w:shd w:fill="EAF2F8"/>
          </w:tcPr>
          <w:p>
            <w:pPr>
              <w:spacing w:after="0"/>
            </w:pPr>
            <w:r>
              <w:rPr>
                <w:sz w:val="14"/>
              </w:rPr>
              <w:t>TBQ key-only/value-only</w:t>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t>Merged official CPU SDPA</w:t>
            </w:r>
          </w:p>
        </w:tc>
        <w:tc>
          <w:tcPr>
            <w:tcW w:type="dxa" w:w="1454"/>
            <w:vAlign w:val="center"/>
            <w:shd w:fill="EAF2F8"/>
          </w:tcPr>
          <w:p>
            <w:pPr>
              <w:spacing w:after="0"/>
            </w:pPr>
            <w:r>
              <w:rPr>
                <w:sz w:val="14"/>
              </w:rPr>
            </w:r>
          </w:p>
        </w:tc>
      </w:tr>
      <w:tr>
        <w:trPr>
          <w:cantSplit/>
        </w:trPr>
        <w:tc>
          <w:tcPr>
            <w:tcW w:type="dxa" w:w="1454"/>
            <w:vAlign w:val="center"/>
          </w:tcPr>
          <w:p>
            <w:pPr>
              <w:spacing w:after="0"/>
            </w:pPr>
            <w:r>
              <w:rPr>
                <w:sz w:val="14"/>
              </w:rPr>
              <w:t>Custom OpenVINO</w:t>
            </w:r>
          </w:p>
        </w:tc>
        <w:tc>
          <w:tcPr>
            <w:tcW w:type="dxa" w:w="1454"/>
            <w:vAlign w:val="center"/>
          </w:tcPr>
          <w:p>
            <w:pPr>
              <w:spacing w:after="0"/>
            </w:pPr>
            <w:r>
              <w:rPr>
                <w:sz w:val="14"/>
              </w:rPr>
              <w:t>TBQ4</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t>Experimental branch</w:t>
            </w:r>
          </w:p>
        </w:tc>
        <w:tc>
          <w:tcPr>
            <w:tcW w:type="dxa" w:w="1454"/>
            <w:vAlign w:val="center"/>
          </w:tcPr>
          <w:p>
            <w:pPr>
              <w:spacing w:after="0"/>
            </w:pPr>
            <w:r>
              <w:rPr>
                <w:sz w:val="14"/>
              </w:rPr>
            </w:r>
          </w:p>
        </w:tc>
      </w:tr>
      <w:tr>
        <w:trPr>
          <w:cantSplit/>
        </w:trPr>
        <w:tc>
          <w:tcPr>
            <w:tcW w:type="dxa" w:w="1454"/>
            <w:vAlign w:val="center"/>
            <w:shd w:fill="EAF2F8"/>
          </w:tcPr>
          <w:p>
            <w:pPr>
              <w:spacing w:after="0"/>
            </w:pPr>
            <w:r>
              <w:rPr>
                <w:sz w:val="14"/>
              </w:rPr>
              <w:t>Custom OpenVINO</w:t>
            </w:r>
          </w:p>
        </w:tc>
        <w:tc>
          <w:tcPr>
            <w:tcW w:type="dxa" w:w="1454"/>
            <w:vAlign w:val="center"/>
            <w:shd w:fill="EAF2F8"/>
          </w:tcPr>
          <w:p>
            <w:pPr>
              <w:spacing w:after="0"/>
            </w:pPr>
            <w:r>
              <w:rPr>
                <w:sz w:val="14"/>
              </w:rPr>
              <w:t>TBQ3</w:t>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t>Experimental branch</w:t>
            </w:r>
          </w:p>
        </w:tc>
        <w:tc>
          <w:tcPr>
            <w:tcW w:type="dxa" w:w="1454"/>
            <w:vAlign w:val="center"/>
            <w:shd w:fill="EAF2F8"/>
          </w:tcPr>
          <w:p>
            <w:pPr>
              <w:spacing w:after="0"/>
            </w:pPr>
            <w:r>
              <w:rPr>
                <w:sz w:val="14"/>
              </w:rPr>
            </w:r>
          </w:p>
        </w:tc>
      </w:tr>
      <w:tr>
        <w:trPr>
          <w:cantSplit/>
        </w:trPr>
        <w:tc>
          <w:tcPr>
            <w:tcW w:type="dxa" w:w="1454"/>
            <w:vAlign w:val="center"/>
          </w:tcPr>
          <w:p>
            <w:pPr>
              <w:spacing w:after="0"/>
            </w:pPr>
            <w:r>
              <w:rPr>
                <w:sz w:val="14"/>
              </w:rPr>
              <w:t>Custom OpenVINO</w:t>
            </w:r>
          </w:p>
        </w:tc>
        <w:tc>
          <w:tcPr>
            <w:tcW w:type="dxa" w:w="1454"/>
            <w:vAlign w:val="center"/>
          </w:tcPr>
          <w:p>
            <w:pPr>
              <w:spacing w:after="0"/>
            </w:pPr>
            <w:r>
              <w:rPr>
                <w:sz w:val="14"/>
              </w:rPr>
              <w:t>TBQ4+QJL</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t>Experimental branch</w:t>
            </w:r>
          </w:p>
        </w:tc>
        <w:tc>
          <w:tcPr>
            <w:tcW w:type="dxa" w:w="1454"/>
            <w:vAlign w:val="center"/>
          </w:tcPr>
          <w:p>
            <w:pPr>
              <w:spacing w:after="0"/>
            </w:pPr>
            <w:r>
              <w:rPr>
                <w:sz w:val="14"/>
              </w:rPr>
            </w:r>
          </w:p>
        </w:tc>
      </w:tr>
      <w:tr>
        <w:trPr>
          <w:cantSplit/>
        </w:trPr>
        <w:tc>
          <w:tcPr>
            <w:tcW w:type="dxa" w:w="1454"/>
            <w:vAlign w:val="center"/>
            <w:shd w:fill="EAF2F8"/>
          </w:tcPr>
          <w:p>
            <w:pPr>
              <w:spacing w:after="0"/>
            </w:pPr>
            <w:r>
              <w:rPr>
                <w:sz w:val="14"/>
              </w:rPr>
              <w:t>Custom OpenVINO</w:t>
            </w:r>
          </w:p>
        </w:tc>
        <w:tc>
          <w:tcPr>
            <w:tcW w:type="dxa" w:w="1454"/>
            <w:vAlign w:val="center"/>
            <w:shd w:fill="EAF2F8"/>
          </w:tcPr>
          <w:p>
            <w:pPr>
              <w:spacing w:after="0"/>
            </w:pPr>
            <w:r>
              <w:rPr>
                <w:sz w:val="14"/>
              </w:rPr>
              <w:t>TBQ3+QJL</w:t>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t>Experimental branch</w:t>
            </w:r>
          </w:p>
        </w:tc>
        <w:tc>
          <w:tcPr>
            <w:tcW w:type="dxa" w:w="1454"/>
            <w:vAlign w:val="center"/>
            <w:shd w:fill="EAF2F8"/>
          </w:tcPr>
          <w:p>
            <w:pPr>
              <w:spacing w:after="0"/>
            </w:pPr>
            <w:r>
              <w:rPr>
                <w:sz w:val="14"/>
              </w:rPr>
            </w:r>
          </w:p>
        </w:tc>
      </w:tr>
      <w:tr>
        <w:trPr>
          <w:cantSplit/>
        </w:trPr>
        <w:tc>
          <w:tcPr>
            <w:tcW w:type="dxa" w:w="1454"/>
            <w:vAlign w:val="center"/>
          </w:tcPr>
          <w:p>
            <w:pPr>
              <w:spacing w:after="0"/>
            </w:pPr>
            <w:r>
              <w:rPr>
                <w:sz w:val="14"/>
              </w:rPr>
              <w:t>Custom OpenVINO</w:t>
            </w:r>
          </w:p>
        </w:tc>
        <w:tc>
          <w:tcPr>
            <w:tcW w:type="dxa" w:w="1454"/>
            <w:vAlign w:val="center"/>
          </w:tcPr>
          <w:p>
            <w:pPr>
              <w:spacing w:after="0"/>
            </w:pPr>
            <w:r>
              <w:rPr>
                <w:sz w:val="14"/>
              </w:rPr>
              <w:t>Polar4</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t>Experimental branch</w:t>
            </w:r>
          </w:p>
        </w:tc>
        <w:tc>
          <w:tcPr>
            <w:tcW w:type="dxa" w:w="1454"/>
            <w:vAlign w:val="center"/>
          </w:tcPr>
          <w:p>
            <w:pPr>
              <w:spacing w:after="0"/>
            </w:pPr>
            <w:r>
              <w:rPr>
                <w:sz w:val="14"/>
              </w:rPr>
            </w:r>
          </w:p>
        </w:tc>
      </w:tr>
      <w:tr>
        <w:trPr>
          <w:cantSplit/>
        </w:trPr>
        <w:tc>
          <w:tcPr>
            <w:tcW w:type="dxa" w:w="1454"/>
            <w:vAlign w:val="center"/>
            <w:shd w:fill="EAF2F8"/>
          </w:tcPr>
          <w:p>
            <w:pPr>
              <w:spacing w:after="0"/>
            </w:pPr>
            <w:r>
              <w:rPr>
                <w:sz w:val="14"/>
              </w:rPr>
              <w:t>Custom OpenVINO</w:t>
            </w:r>
          </w:p>
        </w:tc>
        <w:tc>
          <w:tcPr>
            <w:tcW w:type="dxa" w:w="1454"/>
            <w:vAlign w:val="center"/>
            <w:shd w:fill="EAF2F8"/>
          </w:tcPr>
          <w:p>
            <w:pPr>
              <w:spacing w:after="0"/>
            </w:pPr>
            <w:r>
              <w:rPr>
                <w:sz w:val="14"/>
              </w:rPr>
              <w:t>Polar3</w:t>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r>
          </w:p>
        </w:tc>
        <w:tc>
          <w:tcPr>
            <w:tcW w:type="dxa" w:w="1454"/>
            <w:vAlign w:val="center"/>
            <w:shd w:fill="EAF2F8"/>
          </w:tcPr>
          <w:p>
            <w:pPr>
              <w:spacing w:after="0"/>
            </w:pPr>
            <w:r>
              <w:rPr>
                <w:sz w:val="14"/>
              </w:rPr>
              <w:t>Experimental branch</w:t>
            </w:r>
          </w:p>
        </w:tc>
        <w:tc>
          <w:tcPr>
            <w:tcW w:type="dxa" w:w="1454"/>
            <w:vAlign w:val="center"/>
            <w:shd w:fill="EAF2F8"/>
          </w:tcPr>
          <w:p>
            <w:pPr>
              <w:spacing w:after="0"/>
            </w:pPr>
            <w:r>
              <w:rPr>
                <w:sz w:val="14"/>
              </w:rPr>
            </w:r>
          </w:p>
        </w:tc>
      </w:tr>
      <w:tr>
        <w:trPr>
          <w:cantSplit/>
        </w:trPr>
        <w:tc>
          <w:tcPr>
            <w:tcW w:type="dxa" w:w="1454"/>
            <w:vAlign w:val="center"/>
          </w:tcPr>
          <w:p>
            <w:pPr>
              <w:spacing w:after="0"/>
            </w:pPr>
            <w:r>
              <w:rPr>
                <w:sz w:val="14"/>
              </w:rPr>
              <w:t>Custom OpenVINO</w:t>
            </w:r>
          </w:p>
        </w:tc>
        <w:tc>
          <w:tcPr>
            <w:tcW w:type="dxa" w:w="1454"/>
            <w:vAlign w:val="center"/>
          </w:tcPr>
          <w:p>
            <w:pPr>
              <w:spacing w:after="0"/>
            </w:pPr>
            <w:r>
              <w:rPr>
                <w:sz w:val="14"/>
              </w:rPr>
              <w:t>Best asymmetric/cross-family pair</w:t>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r>
          </w:p>
        </w:tc>
        <w:tc>
          <w:tcPr>
            <w:tcW w:type="dxa" w:w="1454"/>
            <w:vAlign w:val="center"/>
          </w:tcPr>
          <w:p>
            <w:pPr>
              <w:spacing w:after="0"/>
            </w:pPr>
            <w:r>
              <w:rPr>
                <w:sz w:val="14"/>
              </w:rPr>
              <w:t>Experimental branch</w:t>
            </w:r>
          </w:p>
        </w:tc>
        <w:tc>
          <w:tcPr>
            <w:tcW w:type="dxa" w:w="1454"/>
            <w:vAlign w:val="center"/>
          </w:tcPr>
          <w:p>
            <w:pPr>
              <w:spacing w:after="0"/>
            </w:pPr>
            <w:r>
              <w:rPr>
                <w:sz w:val="14"/>
              </w:rPr>
            </w:r>
          </w:p>
        </w:tc>
      </w:tr>
    </w:tbl>
    <w:p>
      <w:pPr>
        <w:spacing w:after="40"/>
      </w:pPr>
    </w:p>
    <w:p>
      <w:pPr>
        <w:pStyle w:val="Heading2"/>
      </w:pPr>
      <w:r>
        <w:t>9. Operational comparison</w:t>
      </w:r>
    </w:p>
    <w:tbl>
      <w:tblPr>
        <w:tblStyle w:val="TableGrid"/>
        <w:tblW w:type="auto" w:w="0"/>
        <w:tblLayout w:type="autofit"/>
        <w:tblLook w:firstColumn="1" w:firstRow="1" w:lastColumn="0" w:lastRow="0" w:noHBand="0" w:noVBand="1" w:val="04A0"/>
      </w:tblPr>
      <w:tblGrid>
        <w:gridCol w:w="2424"/>
        <w:gridCol w:w="2424"/>
        <w:gridCol w:w="2424"/>
        <w:gridCol w:w="2424"/>
        <w:gridCol w:w="2424"/>
        <w:gridCol w:w="2424"/>
      </w:tblGrid>
      <w:tr>
        <w:trPr>
          <w:cantSplit/>
          <w:tblHeader w:val="true"/>
        </w:trPr>
        <w:tc>
          <w:tcPr>
            <w:tcW w:type="dxa" w:w="2424"/>
            <w:shd w:fill="1F4E78"/>
            <w:vAlign w:val="center"/>
          </w:tcPr>
          <w:p>
            <w:r>
              <w:rPr>
                <w:b/>
                <w:color w:val="FFFFFF"/>
                <w:sz w:val="14"/>
              </w:rPr>
              <w:t>Criterion</w:t>
            </w:r>
          </w:p>
        </w:tc>
        <w:tc>
          <w:tcPr>
            <w:tcW w:type="dxa" w:w="2424"/>
            <w:shd w:fill="1F4E78"/>
            <w:vAlign w:val="center"/>
          </w:tcPr>
          <w:p>
            <w:r>
              <w:rPr>
                <w:b/>
                <w:color w:val="FFFFFF"/>
                <w:sz w:val="14"/>
              </w:rPr>
              <w:t>Upstream llama.cpp</w:t>
            </w:r>
          </w:p>
        </w:tc>
        <w:tc>
          <w:tcPr>
            <w:tcW w:type="dxa" w:w="2424"/>
            <w:shd w:fill="1F4E78"/>
            <w:vAlign w:val="center"/>
          </w:tcPr>
          <w:p>
            <w:r>
              <w:rPr>
                <w:b/>
                <w:color w:val="FFFFFF"/>
                <w:sz w:val="14"/>
              </w:rPr>
              <w:t>AtomicBot</w:t>
            </w:r>
          </w:p>
        </w:tc>
        <w:tc>
          <w:tcPr>
            <w:tcW w:type="dxa" w:w="2424"/>
            <w:shd w:fill="1F4E78"/>
            <w:vAlign w:val="center"/>
          </w:tcPr>
          <w:p>
            <w:r>
              <w:rPr>
                <w:b/>
                <w:color w:val="FFFFFF"/>
                <w:sz w:val="14"/>
              </w:rPr>
              <w:t>animehacker</w:t>
            </w:r>
          </w:p>
        </w:tc>
        <w:tc>
          <w:tcPr>
            <w:tcW w:type="dxa" w:w="2424"/>
            <w:shd w:fill="1F4E78"/>
            <w:vAlign w:val="center"/>
          </w:tcPr>
          <w:p>
            <w:r>
              <w:rPr>
                <w:b/>
                <w:color w:val="FFFFFF"/>
                <w:sz w:val="14"/>
              </w:rPr>
              <w:t>Official OpenVINO</w:t>
            </w:r>
          </w:p>
        </w:tc>
        <w:tc>
          <w:tcPr>
            <w:tcW w:type="dxa" w:w="2424"/>
            <w:shd w:fill="1F4E78"/>
            <w:vAlign w:val="center"/>
          </w:tcPr>
          <w:p>
            <w:r>
              <w:rPr>
                <w:b/>
                <w:color w:val="FFFFFF"/>
                <w:sz w:val="14"/>
              </w:rPr>
              <w:t>Custom OpenVINO</w:t>
            </w:r>
          </w:p>
        </w:tc>
      </w:tr>
      <w:tr>
        <w:trPr>
          <w:cantSplit/>
        </w:trPr>
        <w:tc>
          <w:tcPr>
            <w:tcW w:type="dxa" w:w="2424"/>
            <w:vAlign w:val="center"/>
          </w:tcPr>
          <w:p>
            <w:pPr>
              <w:spacing w:after="0"/>
            </w:pPr>
            <w:r>
              <w:rPr>
                <w:sz w:val="14"/>
              </w:rPr>
              <w:t>Windows reproducibility</w:t>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r>
      <w:tr>
        <w:trPr>
          <w:cantSplit/>
        </w:trPr>
        <w:tc>
          <w:tcPr>
            <w:tcW w:type="dxa" w:w="2424"/>
            <w:vAlign w:val="center"/>
            <w:shd w:fill="EAF2F8"/>
          </w:tcPr>
          <w:p>
            <w:pPr>
              <w:spacing w:after="0"/>
            </w:pPr>
            <w:r>
              <w:rPr>
                <w:sz w:val="14"/>
              </w:rPr>
              <w:t>Granite 3B support</w:t>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r>
      <w:tr>
        <w:trPr>
          <w:cantSplit/>
        </w:trPr>
        <w:tc>
          <w:tcPr>
            <w:tcW w:type="dxa" w:w="2424"/>
            <w:vAlign w:val="center"/>
          </w:tcPr>
          <w:p>
            <w:pPr>
              <w:spacing w:after="0"/>
            </w:pPr>
            <w:r>
              <w:rPr>
                <w:sz w:val="14"/>
              </w:rPr>
              <w:t>Granite 8B support</w:t>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r>
      <w:tr>
        <w:trPr>
          <w:cantSplit/>
        </w:trPr>
        <w:tc>
          <w:tcPr>
            <w:tcW w:type="dxa" w:w="2424"/>
            <w:vAlign w:val="center"/>
            <w:shd w:fill="EAF2F8"/>
          </w:tcPr>
          <w:p>
            <w:pPr>
              <w:spacing w:after="0"/>
            </w:pPr>
            <w:r>
              <w:rPr>
                <w:sz w:val="14"/>
              </w:rPr>
              <w:t>Intel CPU support</w:t>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r>
      <w:tr>
        <w:trPr>
          <w:cantSplit/>
        </w:trPr>
        <w:tc>
          <w:tcPr>
            <w:tcW w:type="dxa" w:w="2424"/>
            <w:vAlign w:val="center"/>
          </w:tcPr>
          <w:p>
            <w:pPr>
              <w:spacing w:after="0"/>
            </w:pPr>
            <w:r>
              <w:rPr>
                <w:sz w:val="14"/>
              </w:rPr>
              <w:t>Intel GPU support</w:t>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r>
      <w:tr>
        <w:trPr>
          <w:cantSplit/>
        </w:trPr>
        <w:tc>
          <w:tcPr>
            <w:tcW w:type="dxa" w:w="2424"/>
            <w:vAlign w:val="center"/>
            <w:shd w:fill="EAF2F8"/>
          </w:tcPr>
          <w:p>
            <w:pPr>
              <w:spacing w:after="0"/>
            </w:pPr>
            <w:r>
              <w:rPr>
                <w:sz w:val="14"/>
              </w:rPr>
              <w:t>Fallback clarity</w:t>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r>
      <w:tr>
        <w:trPr>
          <w:cantSplit/>
        </w:trPr>
        <w:tc>
          <w:tcPr>
            <w:tcW w:type="dxa" w:w="2424"/>
            <w:vAlign w:val="center"/>
          </w:tcPr>
          <w:p>
            <w:pPr>
              <w:spacing w:after="0"/>
            </w:pPr>
            <w:r>
              <w:rPr>
                <w:sz w:val="14"/>
              </w:rPr>
              <w:t>Memory efficiency</w:t>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r>
      <w:tr>
        <w:trPr>
          <w:cantSplit/>
        </w:trPr>
        <w:tc>
          <w:tcPr>
            <w:tcW w:type="dxa" w:w="2424"/>
            <w:vAlign w:val="center"/>
            <w:shd w:fill="EAF2F8"/>
          </w:tcPr>
          <w:p>
            <w:pPr>
              <w:spacing w:after="0"/>
            </w:pPr>
            <w:r>
              <w:rPr>
                <w:sz w:val="14"/>
              </w:rPr>
              <w:t>Speed</w:t>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r>
      <w:tr>
        <w:trPr>
          <w:cantSplit/>
        </w:trPr>
        <w:tc>
          <w:tcPr>
            <w:tcW w:type="dxa" w:w="2424"/>
            <w:vAlign w:val="center"/>
          </w:tcPr>
          <w:p>
            <w:pPr>
              <w:spacing w:after="0"/>
            </w:pPr>
            <w:r>
              <w:rPr>
                <w:sz w:val="14"/>
              </w:rPr>
              <w:t>Quality preservation</w:t>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r>
      <w:tr>
        <w:trPr>
          <w:cantSplit/>
        </w:trPr>
        <w:tc>
          <w:tcPr>
            <w:tcW w:type="dxa" w:w="2424"/>
            <w:vAlign w:val="center"/>
            <w:shd w:fill="EAF2F8"/>
          </w:tcPr>
          <w:p>
            <w:pPr>
              <w:spacing w:after="0"/>
            </w:pPr>
            <w:r>
              <w:rPr>
                <w:sz w:val="14"/>
              </w:rPr>
              <w:t>Maximum context</w:t>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r>
      <w:tr>
        <w:trPr>
          <w:cantSplit/>
        </w:trPr>
        <w:tc>
          <w:tcPr>
            <w:tcW w:type="dxa" w:w="2424"/>
            <w:vAlign w:val="center"/>
          </w:tcPr>
          <w:p>
            <w:pPr>
              <w:spacing w:after="0"/>
            </w:pPr>
            <w:r>
              <w:rPr>
                <w:sz w:val="14"/>
              </w:rPr>
              <w:t>Stability</w:t>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r>
      <w:tr>
        <w:trPr>
          <w:cantSplit/>
        </w:trPr>
        <w:tc>
          <w:tcPr>
            <w:tcW w:type="dxa" w:w="2424"/>
            <w:vAlign w:val="center"/>
            <w:shd w:fill="EAF2F8"/>
          </w:tcPr>
          <w:p>
            <w:pPr>
              <w:spacing w:after="0"/>
            </w:pPr>
            <w:r>
              <w:rPr>
                <w:sz w:val="14"/>
              </w:rPr>
              <w:t>Failure diagnostics</w:t>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r>
      <w:tr>
        <w:trPr>
          <w:cantSplit/>
        </w:trPr>
        <w:tc>
          <w:tcPr>
            <w:tcW w:type="dxa" w:w="2424"/>
            <w:vAlign w:val="center"/>
          </w:tcPr>
          <w:p>
            <w:pPr>
              <w:spacing w:after="0"/>
            </w:pPr>
            <w:r>
              <w:rPr>
                <w:sz w:val="14"/>
              </w:rPr>
              <w:t>Application integration difficulty</w:t>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c>
          <w:tcPr>
            <w:tcW w:type="dxa" w:w="2424"/>
            <w:vAlign w:val="center"/>
          </w:tcPr>
          <w:p>
            <w:pPr>
              <w:spacing w:after="0"/>
            </w:pPr>
            <w:r>
              <w:rPr>
                <w:sz w:val="14"/>
              </w:rPr>
            </w:r>
          </w:p>
        </w:tc>
      </w:tr>
      <w:tr>
        <w:trPr>
          <w:cantSplit/>
        </w:trPr>
        <w:tc>
          <w:tcPr>
            <w:tcW w:type="dxa" w:w="2424"/>
            <w:vAlign w:val="center"/>
            <w:shd w:fill="EAF2F8"/>
          </w:tcPr>
          <w:p>
            <w:pPr>
              <w:spacing w:after="0"/>
            </w:pPr>
            <w:r>
              <w:rPr>
                <w:sz w:val="14"/>
              </w:rPr>
              <w:t>Repository/runtime maturity</w:t>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c>
          <w:tcPr>
            <w:tcW w:type="dxa" w:w="2424"/>
            <w:vAlign w:val="center"/>
            <w:shd w:fill="EAF2F8"/>
          </w:tcPr>
          <w:p>
            <w:pPr>
              <w:spacing w:after="0"/>
            </w:pPr>
            <w:r>
              <w:rPr>
                <w:sz w:val="14"/>
              </w:rPr>
            </w:r>
          </w:p>
        </w:tc>
      </w:tr>
    </w:tbl>
    <w:p>
      <w:pPr>
        <w:spacing w:after="40"/>
      </w:pPr>
    </w:p>
    <w:p>
      <w:pPr>
        <w:pStyle w:val="Heading1"/>
      </w:pPr>
      <w:r>
        <w:t>10. Final route decisions</w:t>
      </w:r>
    </w:p>
    <w:tbl>
      <w:tblPr>
        <w:tblStyle w:val="TableGrid"/>
        <w:tblW w:type="auto" w:w="0"/>
        <w:tblLayout w:type="autofit"/>
        <w:tblLook w:firstColumn="1" w:firstRow="1" w:lastColumn="0" w:lastRow="0" w:noHBand="0" w:noVBand="1" w:val="04A0"/>
      </w:tblPr>
      <w:tblGrid>
        <w:gridCol w:w="1818"/>
        <w:gridCol w:w="1818"/>
        <w:gridCol w:w="1818"/>
        <w:gridCol w:w="1818"/>
        <w:gridCol w:w="1818"/>
        <w:gridCol w:w="1818"/>
        <w:gridCol w:w="1818"/>
        <w:gridCol w:w="1818"/>
      </w:tblGrid>
      <w:tr>
        <w:trPr>
          <w:cantSplit/>
          <w:tblHeader w:val="true"/>
        </w:trPr>
        <w:tc>
          <w:tcPr>
            <w:tcW w:type="dxa" w:w="1818"/>
            <w:shd w:fill="1F4E78"/>
            <w:vAlign w:val="center"/>
          </w:tcPr>
          <w:p>
            <w:r>
              <w:rPr>
                <w:b/>
                <w:color w:val="FFFFFF"/>
                <w:sz w:val="14"/>
              </w:rPr>
              <w:t>Route</w:t>
            </w:r>
          </w:p>
        </w:tc>
        <w:tc>
          <w:tcPr>
            <w:tcW w:type="dxa" w:w="1818"/>
            <w:shd w:fill="1F4E78"/>
            <w:vAlign w:val="center"/>
          </w:tcPr>
          <w:p>
            <w:r>
              <w:rPr>
                <w:b/>
                <w:color w:val="FFFFFF"/>
                <w:sz w:val="14"/>
              </w:rPr>
              <w:t>Status</w:t>
            </w:r>
          </w:p>
        </w:tc>
        <w:tc>
          <w:tcPr>
            <w:tcW w:type="dxa" w:w="1818"/>
            <w:shd w:fill="1F4E78"/>
            <w:vAlign w:val="center"/>
          </w:tcPr>
          <w:p>
            <w:r>
              <w:rPr>
                <w:b/>
                <w:color w:val="FFFFFF"/>
                <w:sz w:val="14"/>
              </w:rPr>
              <w:t>Application role</w:t>
            </w:r>
          </w:p>
        </w:tc>
        <w:tc>
          <w:tcPr>
            <w:tcW w:type="dxa" w:w="1818"/>
            <w:shd w:fill="1F4E78"/>
            <w:vAlign w:val="center"/>
          </w:tcPr>
          <w:p>
            <w:r>
              <w:rPr>
                <w:b/>
                <w:color w:val="FFFFFF"/>
                <w:sz w:val="14"/>
              </w:rPr>
              <w:t>Supported models</w:t>
            </w:r>
          </w:p>
        </w:tc>
        <w:tc>
          <w:tcPr>
            <w:tcW w:type="dxa" w:w="1818"/>
            <w:shd w:fill="1F4E78"/>
            <w:vAlign w:val="center"/>
          </w:tcPr>
          <w:p>
            <w:r>
              <w:rPr>
                <w:b/>
                <w:color w:val="FFFFFF"/>
                <w:sz w:val="14"/>
              </w:rPr>
              <w:t>Supported hardware</w:t>
            </w:r>
          </w:p>
        </w:tc>
        <w:tc>
          <w:tcPr>
            <w:tcW w:type="dxa" w:w="1818"/>
            <w:shd w:fill="1F4E78"/>
            <w:vAlign w:val="center"/>
          </w:tcPr>
          <w:p>
            <w:r>
              <w:rPr>
                <w:b/>
                <w:color w:val="FFFFFF"/>
                <w:sz w:val="14"/>
              </w:rPr>
              <w:t>Best configuration</w:t>
            </w:r>
          </w:p>
        </w:tc>
        <w:tc>
          <w:tcPr>
            <w:tcW w:type="dxa" w:w="1818"/>
            <w:shd w:fill="1F4E78"/>
            <w:vAlign w:val="center"/>
          </w:tcPr>
          <w:p>
            <w:r>
              <w:rPr>
                <w:b/>
                <w:color w:val="FFFFFF"/>
                <w:sz w:val="14"/>
              </w:rPr>
              <w:t>Main reason</w:t>
            </w:r>
          </w:p>
        </w:tc>
        <w:tc>
          <w:tcPr>
            <w:tcW w:type="dxa" w:w="1818"/>
            <w:shd w:fill="1F4E78"/>
            <w:vAlign w:val="center"/>
          </w:tcPr>
          <w:p>
            <w:r>
              <w:rPr>
                <w:b/>
                <w:color w:val="FFFFFF"/>
                <w:sz w:val="14"/>
              </w:rPr>
              <w:t>Evidence path</w:t>
            </w:r>
          </w:p>
        </w:tc>
      </w:tr>
      <w:tr>
        <w:trPr>
          <w:cantSplit/>
        </w:trPr>
        <w:tc>
          <w:tcPr>
            <w:tcW w:type="dxa" w:w="1818"/>
            <w:vAlign w:val="center"/>
          </w:tcPr>
          <w:p>
            <w:pPr>
              <w:spacing w:after="0"/>
            </w:pPr>
            <w:r>
              <w:rPr>
                <w:sz w:val="14"/>
              </w:rPr>
              <w:t>Upstream llama.cpp</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AtomicBot CPU TurboQuant</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AtomicBot GPU TurboQuant</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animehacker TQ3_0</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Official OpenVINO CPU standard</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Official OpenVINO CPU TBQ4</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Official OpenVINO CPU TBQ3</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Official OpenVINO GPU/fallback</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Custom OpenVINO TBQ4</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Custom OpenVINO TBQ3</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Custom OpenVINO TBQ4+QJL</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Custom OpenVINO TBQ3+QJL</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Custom OpenVINO Polar4</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r>
        <w:trPr>
          <w:cantSplit/>
        </w:trPr>
        <w:tc>
          <w:tcPr>
            <w:tcW w:type="dxa" w:w="1818"/>
            <w:vAlign w:val="center"/>
            <w:shd w:fill="EAF2F8"/>
          </w:tcPr>
          <w:p>
            <w:pPr>
              <w:spacing w:after="0"/>
            </w:pPr>
            <w:r>
              <w:rPr>
                <w:sz w:val="14"/>
              </w:rPr>
              <w:t>Custom OpenVINO Polar3</w:t>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c>
          <w:tcPr>
            <w:tcW w:type="dxa" w:w="1818"/>
            <w:vAlign w:val="center"/>
            <w:shd w:fill="EAF2F8"/>
          </w:tcPr>
          <w:p>
            <w:pPr>
              <w:spacing w:after="0"/>
            </w:pPr>
            <w:r>
              <w:rPr>
                <w:sz w:val="14"/>
              </w:rPr>
            </w:r>
          </w:p>
        </w:tc>
      </w:tr>
      <w:tr>
        <w:trPr>
          <w:cantSplit/>
        </w:trPr>
        <w:tc>
          <w:tcPr>
            <w:tcW w:type="dxa" w:w="1818"/>
            <w:vAlign w:val="center"/>
          </w:tcPr>
          <w:p>
            <w:pPr>
              <w:spacing w:after="0"/>
            </w:pPr>
            <w:r>
              <w:rPr>
                <w:sz w:val="14"/>
              </w:rPr>
              <w:t>Custom OpenVINO best asymmetric pair</w:t>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c>
          <w:tcPr>
            <w:tcW w:type="dxa" w:w="1818"/>
            <w:vAlign w:val="center"/>
          </w:tcPr>
          <w:p>
            <w:pPr>
              <w:spacing w:after="0"/>
            </w:pPr>
            <w:r>
              <w:rPr>
                <w:sz w:val="14"/>
              </w:rPr>
            </w:r>
          </w:p>
        </w:tc>
      </w:tr>
    </w:tbl>
    <w:p>
      <w:pPr>
        <w:spacing w:after="40"/>
      </w:pPr>
    </w:p>
    <w:p>
      <w:pPr>
        <w:pStyle w:val="Heading2"/>
      </w:pPr>
      <w:r>
        <w:t>11. Final recommendation summary</w:t>
      </w:r>
    </w:p>
    <w:tbl>
      <w:tblPr>
        <w:tblStyle w:val="TableGrid"/>
        <w:tblW w:type="auto" w:w="0"/>
        <w:tblLayout w:type="autofit"/>
        <w:tblLook w:firstColumn="1" w:firstRow="1" w:lastColumn="0" w:lastRow="0" w:noHBand="0" w:noVBand="1" w:val="04A0"/>
      </w:tblPr>
      <w:tblGrid>
        <w:gridCol w:w="7272"/>
        <w:gridCol w:w="7272"/>
      </w:tblGrid>
      <w:tr>
        <w:trPr>
          <w:cantSplit/>
          <w:tblHeader w:val="true"/>
        </w:trPr>
        <w:tc>
          <w:tcPr>
            <w:tcW w:type="dxa" w:w="7272"/>
            <w:shd w:fill="1F4E78"/>
            <w:vAlign w:val="center"/>
          </w:tcPr>
          <w:p>
            <w:r>
              <w:rPr>
                <w:b/>
                <w:color w:val="FFFFFF"/>
                <w:sz w:val="14"/>
              </w:rPr>
              <w:t>Field</w:t>
            </w:r>
          </w:p>
        </w:tc>
        <w:tc>
          <w:tcPr>
            <w:tcW w:type="dxa" w:w="7272"/>
            <w:shd w:fill="1F4E78"/>
            <w:vAlign w:val="center"/>
          </w:tcPr>
          <w:p>
            <w:r>
              <w:rPr>
                <w:b/>
                <w:color w:val="FFFFFF"/>
                <w:sz w:val="14"/>
              </w:rPr>
              <w:t>Record</w:t>
            </w:r>
          </w:p>
        </w:tc>
      </w:tr>
      <w:tr>
        <w:trPr>
          <w:cantSplit/>
        </w:trPr>
        <w:tc>
          <w:tcPr>
            <w:tcW w:type="dxa" w:w="7272"/>
            <w:vAlign w:val="center"/>
          </w:tcPr>
          <w:p>
            <w:pPr>
              <w:spacing w:after="0"/>
            </w:pPr>
            <w:r>
              <w:rPr>
                <w:sz w:val="14"/>
              </w:rPr>
              <w:t>Primary GGUF route</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Fallback GGUF route</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Primary OpenVINO route</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Experimental OpenVINO route</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Recommended Granite 3B configuration</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Recommended Granite 8B configuration</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Recommended CPU mode</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Recommended GPU/hybrid mode</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Routes retained as research-only</w:t>
            </w:r>
          </w:p>
        </w:tc>
        <w:tc>
          <w:tcPr>
            <w:tcW w:type="dxa" w:w="7272"/>
            <w:vAlign w:val="center"/>
          </w:tcPr>
          <w:p>
            <w:pPr>
              <w:spacing w:after="0"/>
            </w:pPr>
            <w:r>
              <w:rPr>
                <w:sz w:val="14"/>
              </w:rPr>
            </w:r>
          </w:p>
        </w:tc>
      </w:tr>
      <w:tr>
        <w:trPr>
          <w:cantSplit/>
        </w:trPr>
        <w:tc>
          <w:tcPr>
            <w:tcW w:type="dxa" w:w="7272"/>
            <w:vAlign w:val="center"/>
            <w:shd w:fill="EAF2F8"/>
          </w:tcPr>
          <w:p>
            <w:pPr>
              <w:spacing w:after="0"/>
            </w:pPr>
            <w:r>
              <w:rPr>
                <w:sz w:val="14"/>
              </w:rPr>
              <w:t>Routes rejected</w:t>
            </w:r>
          </w:p>
        </w:tc>
        <w:tc>
          <w:tcPr>
            <w:tcW w:type="dxa" w:w="7272"/>
            <w:vAlign w:val="center"/>
            <w:shd w:fill="EAF2F8"/>
          </w:tcPr>
          <w:p>
            <w:pPr>
              <w:spacing w:after="0"/>
            </w:pPr>
            <w:r>
              <w:rPr>
                <w:sz w:val="14"/>
              </w:rPr>
            </w:r>
          </w:p>
        </w:tc>
      </w:tr>
      <w:tr>
        <w:trPr>
          <w:cantSplit/>
        </w:trPr>
        <w:tc>
          <w:tcPr>
            <w:tcW w:type="dxa" w:w="7272"/>
            <w:vAlign w:val="center"/>
          </w:tcPr>
          <w:p>
            <w:pPr>
              <w:spacing w:after="0"/>
            </w:pPr>
            <w:r>
              <w:rPr>
                <w:sz w:val="14"/>
              </w:rPr>
              <w:t>Main evidence-based conclusion</w:t>
            </w:r>
          </w:p>
        </w:tc>
        <w:tc>
          <w:tcPr>
            <w:tcW w:type="dxa" w:w="7272"/>
            <w:vAlign w:val="center"/>
          </w:tcPr>
          <w:p>
            <w:pPr>
              <w:spacing w:after="0"/>
            </w:pPr>
            <w:r>
              <w:rPr>
                <w:sz w:val="14"/>
              </w:rPr>
            </w:r>
          </w:p>
        </w:tc>
      </w:tr>
    </w:tbl>
    <w:p>
      <w:pPr>
        <w:spacing w:after="40"/>
      </w:pPr>
    </w:p>
    <w:p>
      <w:pPr>
        <w:pStyle w:val="Heading1"/>
      </w:pPr>
      <w:r>
        <w:t>12. Claims control</w:t>
      </w:r>
    </w:p>
    <w:tbl>
      <w:tblPr>
        <w:tblStyle w:val="TableGrid"/>
        <w:tblW w:type="auto" w:w="0"/>
        <w:tblLayout w:type="autofit"/>
        <w:tblLook w:firstColumn="1" w:firstRow="1" w:lastColumn="0" w:lastRow="0" w:noHBand="0" w:noVBand="1" w:val="04A0"/>
      </w:tblPr>
      <w:tblGrid>
        <w:gridCol w:w="7272"/>
        <w:gridCol w:w="7272"/>
      </w:tblGrid>
      <w:tr>
        <w:trPr>
          <w:cantSplit/>
          <w:tblHeader w:val="true"/>
        </w:trPr>
        <w:tc>
          <w:tcPr>
            <w:tcW w:type="dxa" w:w="7272"/>
            <w:shd w:fill="1F4E78"/>
            <w:vAlign w:val="center"/>
          </w:tcPr>
          <w:p>
            <w:r>
              <w:rPr>
                <w:b/>
                <w:color w:val="FFFFFF"/>
                <w:sz w:val="14"/>
              </w:rPr>
              <w:t>Claim</w:t>
            </w:r>
          </w:p>
        </w:tc>
        <w:tc>
          <w:tcPr>
            <w:tcW w:type="dxa" w:w="7272"/>
            <w:shd w:fill="1F4E78"/>
            <w:vAlign w:val="center"/>
          </w:tcPr>
          <w:p>
            <w:r>
              <w:rPr>
                <w:b/>
                <w:color w:val="FFFFFF"/>
                <w:sz w:val="14"/>
              </w:rPr>
              <w:t>Allowed only when</w:t>
            </w:r>
          </w:p>
        </w:tc>
      </w:tr>
      <w:tr>
        <w:trPr>
          <w:cantSplit/>
        </w:trPr>
        <w:tc>
          <w:tcPr>
            <w:tcW w:type="dxa" w:w="7272"/>
            <w:vAlign w:val="center"/>
          </w:tcPr>
          <w:p>
            <w:pPr>
              <w:spacing w:after="0"/>
            </w:pPr>
            <w:r>
              <w:rPr>
                <w:sz w:val="14"/>
              </w:rPr>
              <w:t>TurboQuant works on Intel GPU</w:t>
            </w:r>
          </w:p>
        </w:tc>
        <w:tc>
          <w:tcPr>
            <w:tcW w:type="dxa" w:w="7272"/>
            <w:vAlign w:val="center"/>
          </w:tcPr>
          <w:p>
            <w:pPr>
              <w:spacing w:after="0"/>
            </w:pPr>
            <w:r>
              <w:rPr>
                <w:sz w:val="14"/>
              </w:rPr>
              <w:t>TurboQuant-specific GPU placement is verified; GPU activity alone is insufficient.</w:t>
            </w:r>
          </w:p>
        </w:tc>
      </w:tr>
      <w:tr>
        <w:trPr>
          <w:cantSplit/>
        </w:trPr>
        <w:tc>
          <w:tcPr>
            <w:tcW w:type="dxa" w:w="7272"/>
            <w:vAlign w:val="center"/>
            <w:shd w:fill="EAF2F8"/>
          </w:tcPr>
          <w:p>
            <w:pPr>
              <w:spacing w:after="0"/>
            </w:pPr>
            <w:r>
              <w:rPr>
                <w:sz w:val="14"/>
              </w:rPr>
              <w:t>Granite supports TurboQuant</w:t>
            </w:r>
          </w:p>
        </w:tc>
        <w:tc>
          <w:tcPr>
            <w:tcW w:type="dxa" w:w="7272"/>
            <w:vAlign w:val="center"/>
            <w:shd w:fill="EAF2F8"/>
          </w:tcPr>
          <w:p>
            <w:pPr>
              <w:spacing w:after="0"/>
            </w:pPr>
            <w:r>
              <w:rPr>
                <w:sz w:val="14"/>
              </w:rPr>
              <w:t>The selected Granite model generates with TurboQuant active and no silent fallback.</w:t>
            </w:r>
          </w:p>
        </w:tc>
      </w:tr>
      <w:tr>
        <w:trPr>
          <w:cantSplit/>
        </w:trPr>
        <w:tc>
          <w:tcPr>
            <w:tcW w:type="dxa" w:w="7272"/>
            <w:vAlign w:val="center"/>
          </w:tcPr>
          <w:p>
            <w:pPr>
              <w:spacing w:after="0"/>
            </w:pPr>
            <w:r>
              <w:rPr>
                <w:sz w:val="14"/>
              </w:rPr>
              <w:t>A compression ratio was achieved</w:t>
            </w:r>
          </w:p>
        </w:tc>
        <w:tc>
          <w:tcPr>
            <w:tcW w:type="dxa" w:w="7272"/>
            <w:vAlign w:val="center"/>
          </w:tcPr>
          <w:p>
            <w:pPr>
              <w:spacing w:after="0"/>
            </w:pPr>
            <w:r>
              <w:rPr>
                <w:sz w:val="14"/>
              </w:rPr>
              <w:t>Your measured memory results reproduce it.</w:t>
            </w:r>
          </w:p>
        </w:tc>
      </w:tr>
      <w:tr>
        <w:trPr>
          <w:cantSplit/>
        </w:trPr>
        <w:tc>
          <w:tcPr>
            <w:tcW w:type="dxa" w:w="7272"/>
            <w:vAlign w:val="center"/>
            <w:shd w:fill="EAF2F8"/>
          </w:tcPr>
          <w:p>
            <w:pPr>
              <w:spacing w:after="0"/>
            </w:pPr>
            <w:r>
              <w:rPr>
                <w:sz w:val="14"/>
              </w:rPr>
              <w:t>Quality loss is negligible</w:t>
            </w:r>
          </w:p>
        </w:tc>
        <w:tc>
          <w:tcPr>
            <w:tcW w:type="dxa" w:w="7272"/>
            <w:vAlign w:val="center"/>
            <w:shd w:fill="EAF2F8"/>
          </w:tcPr>
          <w:p>
            <w:pPr>
              <w:spacing w:after="0"/>
            </w:pPr>
            <w:r>
              <w:rPr>
                <w:sz w:val="14"/>
              </w:rPr>
              <w:t>The fixed evaluation shows no unacceptable degradation.</w:t>
            </w:r>
          </w:p>
        </w:tc>
      </w:tr>
      <w:tr>
        <w:trPr>
          <w:cantSplit/>
        </w:trPr>
        <w:tc>
          <w:tcPr>
            <w:tcW w:type="dxa" w:w="7272"/>
            <w:vAlign w:val="center"/>
          </w:tcPr>
          <w:p>
            <w:pPr>
              <w:spacing w:after="0"/>
            </w:pPr>
            <w:r>
              <w:rPr>
                <w:sz w:val="14"/>
              </w:rPr>
              <w:t>Official OpenVINO TurboQuant works</w:t>
            </w:r>
          </w:p>
        </w:tc>
        <w:tc>
          <w:tcPr>
            <w:tcW w:type="dxa" w:w="7272"/>
            <w:vAlign w:val="center"/>
          </w:tcPr>
          <w:p>
            <w:pPr>
              <w:spacing w:after="0"/>
            </w:pPr>
            <w:r>
              <w:rPr>
                <w:sz w:val="14"/>
              </w:rPr>
              <w:t>A pinned merged official runtime exposes TBQ3/TBQ4, activation is verified, and matched tests complete without silent fallback.</w:t>
            </w:r>
          </w:p>
        </w:tc>
      </w:tr>
      <w:tr>
        <w:trPr>
          <w:cantSplit/>
        </w:trPr>
        <w:tc>
          <w:tcPr>
            <w:tcW w:type="dxa" w:w="7272"/>
            <w:vAlign w:val="center"/>
            <w:shd w:fill="EAF2F8"/>
          </w:tcPr>
          <w:p>
            <w:pPr>
              <w:spacing w:after="0"/>
            </w:pPr>
            <w:r>
              <w:rPr>
                <w:sz w:val="14"/>
              </w:rPr>
              <w:t>Custom OpenVINO QJL works</w:t>
            </w:r>
          </w:p>
        </w:tc>
        <w:tc>
          <w:tcPr>
            <w:tcW w:type="dxa" w:w="7272"/>
            <w:vAlign w:val="center"/>
            <w:shd w:fill="EAF2F8"/>
          </w:tcPr>
          <w:p>
            <w:pPr>
              <w:spacing w:after="0"/>
            </w:pPr>
            <w:r>
              <w:rPr>
                <w:sz w:val="14"/>
              </w:rPr>
              <w:t>The pinned experimental Runtime/GenAI pair proves QJL dispatch, record layout, output correctness and repeatable benefit.</w:t>
            </w:r>
          </w:p>
        </w:tc>
      </w:tr>
      <w:tr>
        <w:trPr>
          <w:cantSplit/>
        </w:trPr>
        <w:tc>
          <w:tcPr>
            <w:tcW w:type="dxa" w:w="7272"/>
            <w:vAlign w:val="center"/>
          </w:tcPr>
          <w:p>
            <w:pPr>
              <w:spacing w:after="0"/>
            </w:pPr>
            <w:r>
              <w:rPr>
                <w:sz w:val="14"/>
              </w:rPr>
              <w:t>Custom OpenVINO PolarQuant works</w:t>
            </w:r>
          </w:p>
        </w:tc>
        <w:tc>
          <w:tcPr>
            <w:tcW w:type="dxa" w:w="7272"/>
            <w:vAlign w:val="center"/>
          </w:tcPr>
          <w:p>
            <w:pPr>
              <w:spacing w:after="0"/>
            </w:pPr>
            <w:r>
              <w:rPr>
                <w:sz w:val="14"/>
              </w:rPr>
              <w:t>The pinned experimental Runtime/GenAI pair proves Polar dispatch, output correctness and repeatable benefit.</w:t>
            </w:r>
          </w:p>
        </w:tc>
      </w:tr>
      <w:tr>
        <w:trPr>
          <w:cantSplit/>
        </w:trPr>
        <w:tc>
          <w:tcPr>
            <w:tcW w:type="dxa" w:w="7272"/>
            <w:vAlign w:val="center"/>
            <w:shd w:fill="EAF2F8"/>
          </w:tcPr>
          <w:p>
            <w:pPr>
              <w:spacing w:after="0"/>
            </w:pPr>
            <w:r>
              <w:rPr>
                <w:sz w:val="14"/>
              </w:rPr>
              <w:t>An OpenVINO codec is suitable for application integration</w:t>
            </w:r>
          </w:p>
        </w:tc>
        <w:tc>
          <w:tcPr>
            <w:tcW w:type="dxa" w:w="7272"/>
            <w:vAlign w:val="center"/>
            <w:shd w:fill="EAF2F8"/>
          </w:tcPr>
          <w:p>
            <w:pPr>
              <w:spacing w:after="0"/>
            </w:pPr>
            <w:r>
              <w:rPr>
                <w:sz w:val="14"/>
              </w:rPr>
              <w:t>The exact codec/runtime pair passes reproducibility, quality, stability, maintenance and licensing gates; mere execution is insufficient.</w:t>
            </w:r>
          </w:p>
        </w:tc>
      </w:tr>
      <w:tr>
        <w:trPr>
          <w:cantSplit/>
        </w:trPr>
        <w:tc>
          <w:tcPr>
            <w:tcW w:type="dxa" w:w="7272"/>
            <w:vAlign w:val="center"/>
          </w:tcPr>
          <w:p>
            <w:pPr>
              <w:spacing w:after="0"/>
            </w:pPr>
            <w:r>
              <w:rPr>
                <w:sz w:val="14"/>
              </w:rPr>
              <w:t>Results apply broadly</w:t>
            </w:r>
          </w:p>
        </w:tc>
        <w:tc>
          <w:tcPr>
            <w:tcW w:type="dxa" w:w="7272"/>
            <w:vAlign w:val="center"/>
          </w:tcPr>
          <w:p>
            <w:pPr>
              <w:spacing w:after="0"/>
            </w:pPr>
            <w:r>
              <w:rPr>
                <w:sz w:val="14"/>
              </w:rPr>
              <w:t>The conclusion is limited to the tested models, commits and Intel i5-12450H laptop.</w:t>
            </w:r>
          </w:p>
        </w:tc>
      </w:tr>
    </w:tbl>
    <w:p>
      <w:pPr>
        <w:spacing w:after="40"/>
      </w:pP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Granite-TurboQuant Controlled Retest Campaign v1 - generated working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Granite-TurboQuant Controlled Retest Campaign</dc:creator>
  <cp:keywords/>
  <dc:description>generated by python-docx</dc:description>
  <cp:lastModifiedBy>Granite-TurboQuant Controlled Retest Campaign</cp:lastModifiedBy>
  <cp:revision>1</cp:revision>
  <dcterms:created xsi:type="dcterms:W3CDTF">2026-07-13T00:00:00Z</dcterms:created>
  <dcterms:modified xsi:type="dcterms:W3CDTF">2026-07-14T00:00:00Z</dcterms:modified>
  <cp:category/>
</cp:coreProperties>
</file>