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v1.9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2026.2.1 and GenAI 2026.2.1.0; executed CPU/GPU diagnostics; source-audited the absent TurboQuant/QJL/Polar codec boundary; safety-classified all Granite conversions and downstream measurements; populated every workbook cell with evidence-linked passed or terminal results without fabricated metrics or quality scores.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testing/official-openvino-formal-retest;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the campaign summary to record that zero Granite benchmark rows executed and that only seven setup/API probes passed; retained prior evidence while marking runtime and quality placeholders as recovery-pending.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OV-01-OV-10;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the official OpenVINO GenAI 505/505 source-suite pass; completed two 46/46 CPU observer runs; verified the production CPU plugin, functional query_state pass and invalid-path fail-closed gate; retained all Granite benchmark fields as pending rather than fabricating measurements.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source recovery gates 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Task 03 commit 8e20a73de7286d391775ef5999446359c8d02cb9;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the evidence-bound WB-04 retest: three governed CPU TurboQuant configurations measured with three accepted samples and complete timing, memory, K/V and CPU/GPU statistics; seven expected rejections; 26 explicit terminal outcomes; U4/U8 STANDARD diagnostics; strict U8/4096 and two exact P1-P6 quality launches stopped cleanly at the 2048 MiB RAM floor; no score or winner fabricated.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reconciliation input SHA-256 9ba9b13d3cd3c1aa239a98e55fbc397fb4d08efee8efc8fe961b3562bd891f27;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Presented three measured runtime rows, grouped the successful boundaries, summarized incomplete tests with compact reasons, retained the full 60-ID, 36-runtime and 33-quality evidence set, and recorded that no quality score or winner exists.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v2 reconciliation input SHA-256 96f7355a9446092ddad6d68c75d73bbd956bd24cd3213f9e12db470a87410c65;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2026-08-02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the verified OV-11/512 U4-weight STANDARD f16/f16 K/V formal control with three accepted samples and complete timing, memory, K/V, CPU and GPU aggregates; recorded P1-P4 completion, the P5 2048 MiB RAM-floor stop, the unrun P6 prompt, the FP16 artifact boundary, and the repeated checkpoint-publication contract defect; closed the laptop retry loop without fabricating quality scores.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OV-11/512; OV-13/512; OV-TQ-22/512; OV-TQ-21/512; OV-12/512;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measurement SHA-256 ec933862686e399c19e3ce69bdc11baae2cf10025d1a245db3dcc85c0ae3c3e0; campaign state SHA-256 92101643ff26a2ccc27dd0965a6ae1a0788586c3edcbd6cab9d9b2c4d266c8e8;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spacing w:after="60"/>
      </w:pPr>
      <w:r>
        <w:t>Controlled retest revision 1.9 (WR-037).</w:t>
      </w:r>
    </w:p>
    <w:p>
      <w:pPr>
        <w:spacing w:after="60"/>
      </w:pPr>
      <w:r>
        <w:t>Workbook version: 1.9</w:t>
      </w:r>
    </w:p>
    <w:p>
      <w:pPr>
        <w:spacing w:after="60"/>
      </w:pPr>
      <w:r>
        <w:t>Revision ID: WR-037</w:t>
      </w:r>
    </w:p>
    <w:p>
      <w:pPr>
        <w:spacing w:after="60"/>
      </w:pPr>
      <w:r>
        <w:t>Revision date: 2026-08-02</w:t>
      </w:r>
    </w:p>
    <w:p>
      <w:pPr>
        <w:pStyle w:val="Heading1"/>
      </w:pPr>
      <w:r>
        <w:t>1. Repository, runtime and host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Fact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Adaptive comparison matrix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`experiments/manifests/official-openvino/adaptive-format-comparison-matrix-v1.json`; SHA-256 `3a26bd8bd979a539fb1eee3f08641e409963cc477a6fda5b5688bebe4e523aca`; five controlled route IDs.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Patched OpenVINO GenAI campaign: upstream `7dea0459b2ac7d8dfd877fd9df6737674`, patch `00edae3bfd40a968c964ea4878128dceeeb22d1a`, derived tree `2e872dd4817c42d91cb7c3094954d7b56fa12b0a`.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versions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`2026.2.1-21919-ede283a88e3`; OpenVINO GenAI `2026.2.1.0-2-00edae3bfd4`; Python 3.13.14.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Lenovo 83ER; Intel Core i5-12450H; Intel UHD driver 32.0.101.7076; Windows 11 build 26200; 16,857,817,088 installed physical bytes.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 evidence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`experiments/granite_turboquant_intel/manifests/environments/ENV-20260730-INTEL-LAPTOP-01-WB04/machine-manifest.json`; SHA-256 `23b4fb6e849ae6cf7538d0d3ae17d5859cb88a664a2f83135105146b50488b17`.</w:t>
            </w:r>
          </w:p>
        </w:tc>
      </w:tr>
    </w:tbl>
    <w:p>
      <w:pPr>
        <w:spacing w:after="40"/>
      </w:pPr>
    </w:p>
    <w:p>
      <w:pPr>
        <w:pStyle w:val="Heading1"/>
      </w:pPr>
      <w:r>
        <w:t>2. Successful build and recovery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Controlled checks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positive result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Source-bound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OV-B01, OV-B02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source identity and patched GenAI build passed.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`provenance/source-identity-bounded.json` SHA-256 `44f4bfc111c78258320c0788ddba288f0f54840845cefac6fdfcae9b772e6574`; `provenance/build-00edae3b-attempt-001/build-provenance.json` SHA-256 `57fb318a55db56fb409a60f0b1d516a988f8543c0446153e63efdee3a748e262`.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OV-B03, OV-B05, OV-B06, OV-B07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route, bounded diagnostic execution, metrics controller, and package/environment binding gates passed.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matrix, build provenance, accepted summary schema, and reviewed host manifest.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source suite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505/505 tests passed across 77 suites; zero failed and zero skipped.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`experiments/raw-results/openvino-turboquant/2026-07-29/guards/task03-genai-official-tests/genai-tests-full-005.json`.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Allocation observer recovery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Focused discovery found 46 tests; run 1 passed 46/46 and run 2 passed 46/46. The production CPU plugin and CPU functional binary were verified, `query_state()` passed, and the invalid-destination fail-closed check passed.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`experiments/raw-results/openvino-turboquant/2026-07-29/guards/task03-attempt-006/t3a6-list2.json`, `t3a6-run1.json`, `t3a6-run2.json`, `t3a6-plugin.json`, `t3a6-funcbuild.json`, and `t3-bad.json`.</w:t>
            </w:r>
          </w:p>
        </w:tc>
      </w:tr>
    </w:tbl>
    <w:p>
      <w:pPr>
        <w:spacing w:after="40"/>
      </w:pPr>
    </w:p>
    <w:p>
      <w:pPr>
        <w:pStyle w:val="Heading1"/>
      </w:pPr>
      <w:r>
        <w:t>3. Successful bounded diagnostics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diagnostic 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Diagnostic-only caveat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U8 short CPU STANDARD generation produced valid output with 7 input tokens, 4 generated tokens, `fallback=false`, cleanup 0, and concrete K/V state f32/f32.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only; this weight-artifact success is not a formal benchmark, not scalar-cache proof, and not a quality result.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`diagnostics/u8-standard-load-probe-attempt-002/run/attempt.json`; SHA-256 `720741b6eed42475abe6c23fad8a63d0850e78490145dc1368721490f7444605`.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U4 short CPU STANDARD generation produced valid output with 7 input tokens, 4 generated tokens, `fallback=false`, cleanup 0, and concrete K/V state f32/f32.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only; this weight-artifact success is not a formal benchmark, not scalar-cache proof, and not a quality result.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`diagnostics/u4-standard-load-probe-attempt-001/run/attempt.json`; SHA-256 `90a9b83423dcc1dbff7d3eb7a49e57262b23d253541385af937f914a87a0af9c`.</w:t>
            </w:r>
          </w:p>
        </w:tc>
      </w:tr>
    </w:tbl>
    <w:p>
      <w:pPr>
        <w:spacing w:after="40"/>
      </w:pPr>
    </w:p>
    <w:p>
      <w:pPr>
        <w:pStyle w:val="Heading1"/>
      </w:pPr>
      <w:r>
        <w:t>4. Successful expected-rejection controls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 group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Explicit controlled IDs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successful boundary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Scalar-state controls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OV-04/4096, OV-05/4096, OV-TQ-01/4096, OV-TQ-02/4096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expected rejection after bounded STANDARD activation showed concrete f32/f32 K/V state rather than the requested scalar precision; these are successful boundary checks, not benchmark or quality results.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Property-boundary controls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OV-TQS-05, OV-TQS-06, OV-TQS-07, OV-TQS-08, OV-TQS-09, OV-TQS-10, OV-TQS-11, OV-TQS-12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the setup/property boundary by rejecting unsupported scalar/TurboQuant combinations before generation; these are successful boundary checks, not benchmark or quality results.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Device/codec controls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OV-TQ-18/1024, OV-TQ-19/256, OV-TQ-20/256, OV-B11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the device/codec boundary by rejecting GPU TurboQuant, QJL, Polar, and the invalid destination before generation; these are successful boundary checks, not benchmark or quality results.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t>&lt;!-- BEGIN WB-04 V1.9 COMPARISON --&gt;</w:t>
      </w:r>
    </w:p>
    <w:p>
      <w:pPr>
        <w:pStyle w:val="Heading1"/>
      </w:pPr>
      <w:r>
        <w:t>5. U8 STANDARD, TBQ4 and TBQ3 shared-context comparison</w:t>
      </w:r>
    </w:p>
    <w:p>
      <w:pPr>
        <w:spacing w:after="60"/>
      </w:pPr>
      <w:r>
        <w:t>No shared completed context exists for the three U8-weight cache routes. The</w:t>
      </w:r>
    </w:p>
    <w:p>
      <w:pPr>
        <w:spacing w:after="60"/>
      </w:pPr>
      <w:r>
        <w:t>campaign closed after the OV-11 control, so no direct cache winner is reported.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Cache route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Terminal status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Controlled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U8 STANDARD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Follow-on route stopped at the terminal laptop checkpoint.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OV-TQ-21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Follow-on route stopped at the terminal laptop checkpoint.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Follow-on route stopped at the terminal laptop checkpoint.</w:t>
            </w:r>
          </w:p>
        </w:tc>
      </w:tr>
    </w:tbl>
    <w:p>
      <w:pPr>
        <w:spacing w:after="40"/>
      </w:pPr>
    </w:p>
    <w:p>
      <w:pPr>
        <w:pStyle w:val="Heading1"/>
      </w:pPr>
      <w:r>
        <w:t>6. U4, U8 and FP16 STANDARD deployment comparison</w:t>
      </w:r>
    </w:p>
    <w:p>
      <w:pPr>
        <w:spacing w:after="60"/>
      </w:pPr>
      <w:r>
        <w:t>Only the U4 STANDARD route completed a formal measurement. The absence of a</w:t>
      </w:r>
    </w:p>
    <w:p>
      <w:pPr>
        <w:spacing w:after="60"/>
      </w:pPr>
      <w:r>
        <w:t>shared completed context prevents a direct weight-format comparison.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 route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Outcome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boundary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STANDARD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Three accepted CPU repetitions; fallback false; cleanup zero.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STANDARD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Campaign closed before this route.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 STANDARD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Artefact boundary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 validated FP16 artefact was admitted.</w:t>
            </w:r>
          </w:p>
        </w:tc>
      </w:tr>
    </w:tbl>
    <w:p>
      <w:pPr>
        <w:spacing w:after="40"/>
      </w:pPr>
    </w:p>
    <w:p>
      <w:pPr>
        <w:pStyle w:val="Heading1"/>
      </w:pPr>
      <w:r>
        <w:t>7. Complete timing results</w:t>
      </w:r>
    </w:p>
    <w:p>
      <w:pPr>
        <w:spacing w:after="60"/>
      </w:pPr>
      <w:r>
        <w:t>The first row is the v1.9 STANDARD control. The remaining rows retain the</w:t>
      </w:r>
    </w:p>
    <w:p>
      <w:pPr>
        <w:spacing w:after="60"/>
      </w:pPr>
      <w:r>
        <w:t>earlier v1.8 governed TurboQuant measurements for historical continuity; they</w:t>
      </w:r>
    </w:p>
    <w:p>
      <w:pPr>
        <w:spacing w:after="60"/>
      </w:pPr>
      <w:r>
        <w:t>are not treated as a matched adaptive comparison.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stage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ms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v1.9 formal control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4727.2827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32537.6674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15.826758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174.974472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5.715119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33484.0263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v1.8 retained measurement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8425.953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19149.389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28.841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679.548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1.472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19863.765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v1.8 retained measurement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8079.655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18234.156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29.179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666.685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19576.744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v1.8 retained measurement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8209.418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83969.485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25.66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2048.262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0.488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86068.419</w:t>
            </w:r>
          </w:p>
        </w:tc>
      </w:tr>
    </w:tbl>
    <w:p>
      <w:pPr>
        <w:spacing w:after="40"/>
      </w:pPr>
    </w:p>
    <w:p>
      <w:pPr>
        <w:pStyle w:val="Heading1"/>
      </w:pPr>
      <w:r>
        <w:t>8. Complete memory and CPU/GPU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stage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Minimum available RAM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allocation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mean/peak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mean/peak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v1.9 formal control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4325171200 bytes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2905325568 bytes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4278976512 bytes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84377600 bytes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9.107368 / 68.450225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/ 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residual processes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v1.8 retained measurement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7142.34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4330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3112.461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12.573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8.483 / 18.296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/ 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residual processes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v1.8 retained measurement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7137.219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4323.207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3025.695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10.059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8.528 / 23.92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/ 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residual processes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v1.8 retained measurement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8286.062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5463.633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2153.18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40.059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8.185 / 19.746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/ 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residual processes</w:t>
            </w:r>
          </w:p>
        </w:tc>
      </w:tr>
    </w:tbl>
    <w:p>
      <w:pPr>
        <w:spacing w:after="40"/>
      </w:pPr>
    </w:p>
    <w:p>
      <w:pPr>
        <w:pStyle w:val="Heading1"/>
      </w:pPr>
      <w:r>
        <w:t>9. P1–P6 and aggregate quality results</w:t>
      </w:r>
    </w:p>
    <w:p>
      <w:pPr>
        <w:spacing w:after="60"/>
      </w:pPr>
      <w:r>
        <w:t>The OV-11 sequence completed P1--P4, stopped P5 when available memory reached</w:t>
      </w:r>
    </w:p>
    <w:p>
      <w:pPr>
        <w:spacing w:after="60"/>
      </w:pPr>
      <w:r>
        <w:t>1993.03125 MiB against the unchanged 2048 MiB floor, and did not launch P6.</w:t>
      </w:r>
    </w:p>
    <w:p>
      <w:pPr>
        <w:spacing w:after="60"/>
      </w:pPr>
      <w:r>
        <w:t>No governed P1--P6 sequence completed, so no aggregate score or winner exists.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Aggregate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RAM-floor stop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run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Withheld: incomplete sequence</w:t>
            </w:r>
          </w:p>
        </w:tc>
      </w:tr>
    </w:tbl>
    <w:p>
      <w:pPr>
        <w:spacing w:after="40"/>
      </w:pPr>
    </w:p>
    <w:p>
      <w:pPr>
        <w:pStyle w:val="Heading1"/>
      </w:pPr>
      <w:r>
        <w:t>10. Laptop runtime-capable and fully-comparable boundaries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Highest runtime context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Highest fully comparable context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First confirmed boundary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Terminal stage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established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P5 quality step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RAM floor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Campaign checkpoint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Artefact admission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OV-TQ-21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Campaign checkpoint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observed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Campaign checkpoint</w:t>
            </w:r>
          </w:p>
        </w:tc>
      </w:tr>
    </w:tbl>
    <w:p>
      <w:pPr>
        <w:spacing w:after="40"/>
      </w:pPr>
    </w:p>
    <w:p>
      <w:pPr>
        <w:pStyle w:val="Heading1"/>
      </w:pPr>
      <w:r>
        <w:t>11. Terminal attempts and hash-bound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Identity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Principal reason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Hash-bound 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OV-11/512 runtime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Three accepted formal CPU samples; fallback false; cleanup zero.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Measurement SHA-256 `ec933862686e399c19e3ce69bdc11baae2cf10025d1a245db3dcc85c0ae3c3e0`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OV-11/512 quality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P5 crossed the fixed RAM floor; P6 was not launched.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Campaign-state SHA-256 `92101643ff26a2ccc27dd0965a6ae1a0788586c3edcbd6cab9d9b2c4d266c8e8`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OV-13/512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Validated FP16 artefact was unavailable.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in the controlled failure and evidence registers.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OV-12/512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Campaign closed after the OV-11 quality terminal.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Recorded in the controlled campaign state.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OV-TQ-21/512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Campaign closed after the OV-11 quality terminal.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in the controlled campaign state.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OV-TQ-22/512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launched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Campaign closed after the OV-11 quality terminal.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Recorded in the controlled campaign state.</w:t>
            </w:r>
          </w:p>
        </w:tc>
      </w:tr>
    </w:tbl>
    <w:p>
      <w:pPr>
        <w:spacing w:after="40"/>
      </w:pPr>
    </w:p>
    <w:p>
      <w:pPr>
        <w:spacing w:after="60"/>
      </w:pPr>
      <w:r>
        <w:t>&lt;!-- END WB-04 V1.9 COMPARISON --&gt;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