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Delivery Robots Agent Output Report</w:t>
      </w:r>
    </w:p>
    <w:p>
      <w:r>
        <w:t>Primary case | Large restaurant | Version 2.1-final | October 22, 2026</w:t>
      </w:r>
    </w:p>
    <w:p>
      <w:r>
        <w:t>General finding: a bounded Breakthrough relative to manual carrying, with moderate confidence. Application finding: an incremental improvement to the restaurant workflow. Present action: a controlled pilot only after route acceptance. This document renders the saved primary JSON output.</w:t>
      </w:r>
    </w:p>
    <w:p>
      <w:pPr>
        <w:pStyle w:val="Heading1"/>
      </w:pPr>
      <w:r>
        <w:t>Analytical Question</w:t>
      </w:r>
    </w:p>
    <w:p>
      <w:r>
        <w:t>How significant are indoor autonomous delivery robots, and should the hypothetical large restaurant authorize a controlled meal-delivery pilot?</w:t>
      </w:r>
    </w:p>
    <w:p>
      <w:pPr>
        <w:pStyle w:val="Heading1"/>
      </w:pPr>
      <w:r>
        <w:t>General Technology Finding</w:t>
      </w:r>
    </w:p>
    <w:p>
      <w:r>
        <w:t>Prospective classification: Breakthrough, with moderate confidence, relative to manual carrying or pushing a cart. The unit is a complete indoor wheeled navigation-and-delivery system, not a sensor, a new cosmetic model feature, or all robotics. E2-E3 report a meaningful capability: completing bounded transport routes without a human escorting every trip. This is a course-based interpretation of supplier capability evidence, not measured 10x productivity.</w:t>
      </w:r>
    </w:p>
    <w:p>
      <w:r>
        <w:t>Candidate barrier: in a conventional table-running workflow, a person accompanies the carried meal. That workflow constraint is reduced; it is not a universal historical barrier, because automated transport already existed. Physical distance, route suitability and handoff responsibilities remain.</w:t>
      </w:r>
    </w:p>
    <w:p>
      <w:r>
        <w:t>Suppressing this robot class would plausibly restore human carrying and carts, not cause established cross-tier infrastructure collapse; this is a reasoned counterfactual, not an observed shutdown. Restaurant and hotel delivery mainly concern the economic tier. No categorical dissolution across biological survival and cognitive/social life is established. E1 therefore does not support Potential Promethean.</w:t>
      </w:r>
    </w:p>
    <w:p>
      <w:r>
        <w:t>The dissolution gate fails, so six-criterion scoring is NOT REACHED. Diagnostic gaps are: defined 10x gain, broad cross-tier impact, civilizational paradigm shift, dependent innovation wave, expanded access across groups, and irreversible dependence. The bounded autonomous task is more than a faster manual cart, while the local use can still be an incremental workflow improvement.</w:t>
      </w:r>
    </w:p>
    <w:p>
      <w:pPr>
        <w:pStyle w:val="Heading1"/>
      </w:pPr>
      <w:r>
        <w:t>Application Finding</w:t>
      </w:r>
    </w:p>
    <w:p>
      <w:r>
        <w:t>Kitchen-to-table transport is an incremental restaurant workflow improvement. A robot can carry a batch toward a handoff point, while staff load food, complete service, handle exceptions and support diners. Reduced walking is not evidence that a whole server role disappears.</w:t>
      </w:r>
    </w:p>
    <w:p>
      <w:pPr>
        <w:pStyle w:val="Heading1"/>
      </w:pPr>
      <w:r>
        <w:t>Organization Specific Finding</w:t>
      </w:r>
    </w:p>
    <w:p>
      <w:r>
        <w:t>The large restaurant is a moderate/fast-follower. Flat dry flooring, an approximately 1.2 m route before crowding, charging space and a trained supervisor are hypothetical assumptions. They support a vendor route assessment and bounded trial, not a finding that the venue is already safe or profitable. E2's clearance specification is not a crowd-flow or turning assessment.</w:t>
      </w:r>
    </w:p>
    <w:p>
      <w:pPr>
        <w:pStyle w:val="Heading1"/>
      </w:pPr>
      <w:r>
        <w:t>Confidence and Uncertainty</w:t>
      </w:r>
    </w:p>
    <w:p>
      <w:r>
        <w:t>Moderate confidence in Breakthrough as a bounded system-level capability change relative to manual carrying. Local net value and operational suitability are unknown. A minor improvement to an existing delivery robot could instead be incremental; this finding concerns the complete autonomous-delivery capability, not every product revision.</w:t>
      </w:r>
    </w:p>
    <w:p>
      <w:pPr>
        <w:pStyle w:val="Heading1"/>
      </w:pPr>
      <w:r>
        <w:t>Value Opportunity</w:t>
      </w:r>
    </w:p>
    <w:p>
      <w:r>
        <w:t>Potentially reduce repetitive walking and free attention for service, only if loading, unloading, supervision and interventions do not absorb the saved time. No headcount reduction or payback is established.</w:t>
      </w:r>
    </w:p>
    <w:p>
      <w:pPr>
        <w:pStyle w:val="Heading1"/>
      </w:pPr>
      <w:r>
        <w:t>Risk and Governance</w:t>
      </w:r>
    </w:p>
    <w:p>
      <w:r>
        <w:t>Keep a trained shift supervisor accountable for operation, vendor-approved routes and configuration, controlled handoff, incident logging and manual fallback. Check pedestrian access and hot-item handling before live use; this specialist does not certify safety.</w:t>
      </w:r>
    </w:p>
    <w:p>
      <w:pPr>
        <w:pStyle w:val="Heading1"/>
      </w:pPr>
      <w:r>
        <w:t>Management Recommendation</w:t>
      </w:r>
    </w:p>
    <w:p>
      <w:r>
        <w:t>First complete a vendor and venue route assessment. If acceptable, run a four-week controlled pilot without reducing staffing. Proposed evaluation: compare robot-assisted and manual delivery on 30 matched meal runs across comparable service periods. Record total human minutes per completed run, including loading, handoff, monitoring and rescue; end-to-end completion time; failed runs; interventions; spills; and access conflicts. The shift supervisor owns the log. Proposed expansion gate: lower total human effort with service time no worse than the manual baseline and no unresolved safety or access problem. Pause on a collision, spill with injury risk, blocked essential access, or recurring unhandled route failure; return to manual delivery. These are proposed management gates, not validated statistical thresholds or observed results.</w:t>
      </w:r>
    </w:p>
    <w:p>
      <w:pPr>
        <w:pStyle w:val="Heading1"/>
      </w:pPr>
      <w:r>
        <w:t>Contrary Evidence and Limitations</w:t>
      </w:r>
    </w:p>
    <w:p>
      <w:pPr>
        <w:pStyle w:val="ListBullet"/>
      </w:pPr>
      <w:r>
        <w:t>E4 documents continued human oversight and physical operating limits for another model; these are counterevidence to unrestricted autonomy, not universal numerical rules.</w:t>
      </w:r>
    </w:p>
    <w:p>
      <w:pPr>
        <w:pStyle w:val="ListBullet"/>
      </w:pPr>
      <w:r>
        <w:t>Most capability evidence is supplier-authored, with no independent site benchmark or local cost outcome.</w:t>
      </w:r>
    </w:p>
    <w:p>
      <w:pPr>
        <w:pStyle w:val="ListBullet"/>
      </w:pPr>
      <w:r>
        <w:t>Physical transport and manual fallback remain; multiple hospitality settings do not establish multiple dissolved tiers.</w:t>
      </w:r>
    </w:p>
    <w:p>
      <w:pPr>
        <w:pStyle w:val="Heading1"/>
      </w:pPr>
      <w:r>
        <w:t>Monitoring Triggers</w:t>
      </w:r>
    </w:p>
    <w:p>
      <w:pPr>
        <w:pStyle w:val="ListBullet"/>
      </w:pPr>
      <w:r>
        <w:t>Reassess pilot scope on measured total effort, delivery completion, interventions, service time, cost and incidents.</w:t>
      </w:r>
    </w:p>
    <w:p>
      <w:pPr>
        <w:pStyle w:val="ListBullet"/>
      </w:pPr>
      <w:r>
        <w:t>Reconsider the broad classification only on evidence of categorical barrier dissolution across multiple tiers and durable infrastructure dependence; publicity alone does not qualify.</w:t>
      </w:r>
    </w:p>
    <w:p>
      <w:pPr>
        <w:pStyle w:val="ListBullet"/>
      </w:pPr>
      <w:r>
        <w:t>Review broad significance annually over three years and refresh product-specific evidence before procurement.</w:t>
      </w:r>
    </w:p>
    <w:p>
      <w:pPr>
        <w:pStyle w:val="Heading1"/>
        <w:pageBreakBefore/>
      </w:pPr>
      <w:r>
        <w:t>Abstention and Missing Information</w:t>
      </w:r>
    </w:p>
    <w:p>
      <w:pPr>
        <w:pStyle w:val="ListBullet"/>
      </w:pPr>
      <w:r>
        <w:t>Obtain actual route, turning, crowding and handoff assessment before live use.</w:t>
      </w:r>
    </w:p>
    <w:p>
      <w:pPr>
        <w:pStyle w:val="ListBullet"/>
      </w:pPr>
      <w:r>
        <w:t>Withhold a safe-deployment guarantee, quantified ROI and a staffing-replacement claim without local evidence.</w:t>
      </w:r>
    </w:p>
    <w:p>
      <w:pPr>
        <w:pStyle w:val="ListBullet"/>
      </w:pPr>
      <w:r>
        <w:t>Withhold Potential or Confirmed Promethean on the supplied evidence.</w:t>
      </w:r>
    </w:p>
    <w:p>
      <w:pPr>
        <w:pStyle w:val="Heading1"/>
      </w:pPr>
      <w:r>
        <w:t>Evidence and Sources</w:t>
      </w:r>
    </w:p>
    <w:p>
      <w:pPr>
        <w:keepNext/>
      </w:pPr>
      <w:r>
        <w:t>E1: Chapter 11 distinguishes constraint reduction from categorical dissolution and requires the system, suppression and tier tests.</w:t>
      </w:r>
    </w:p>
    <w:p>
      <w:pPr>
        <w:keepNext/>
      </w:pPr>
      <w:r>
        <w:t>Fortino, Chapter 11, Identifying Promethean Technologies, August 2026 draft Rev 0.1, sections 11.2 and 11.7, pp. 3-4 and 8-11; supplied course PDF.</w:t>
      </w:r>
    </w:p>
    <w:p>
      <w:r>
        <w:t>August 2026 draft; read 2026-10-22. Course framework. Conceptual lens, not empirical performance evidence.</w:t>
      </w:r>
    </w:p>
    <w:p>
      <w:pPr>
        <w:keepNext/>
      </w:pPr>
      <w:r>
        <w:t>E2: PUDU describes BellaBot Pro delivery modes, obstacle sensing and a 65 cm path-clearance specification.</w:t>
      </w:r>
    </w:p>
    <w:p>
      <w:pPr>
        <w:keepNext/>
      </w:pPr>
      <w:r>
        <w:t>https://www.pudurobotics.com/en/products/bellabotpro</w:t>
      </w:r>
    </w:p>
    <w:p>
      <w:r>
        <w:t>Undated live product page; accessed 2026-10-22. Manufacturer product specification. Supplier claim, not independent safety or ROI evidence. The page labels dish recognition and broadcast as under development; do not treat that feature as deployed.</w:t>
      </w:r>
    </w:p>
    <w:p>
      <w:pPr>
        <w:keepNext/>
      </w:pPr>
      <w:r>
        <w:t>E3: PUDU reports a FlashBot elevator-integration test with Nippon Otis.</w:t>
      </w:r>
    </w:p>
    <w:p>
      <w:pPr>
        <w:keepNext/>
      </w:pPr>
      <w:r>
        <w:t>https://www.pudurobotics.com/about/news/652128195da24800447b01c3</w:t>
      </w:r>
    </w:p>
    <w:p>
      <w:r>
        <w:t>2023-09-22; accessed 2026-10-22. Manufacturer report of integration testing. Historical supplier report, not proof of compatibility with an arbitrary hotel elevator or independent long-run service performance.</w:t>
      </w:r>
    </w:p>
    <w:p>
      <w:pPr>
        <w:keepNext/>
      </w:pPr>
      <w:r>
        <w:t>E4: The Servi Plus manual requires operating-space checks, mapping, human handoff and monitoring during peak periods.</w:t>
      </w:r>
    </w:p>
    <w:p>
      <w:pPr>
        <w:keepNext/>
      </w:pPr>
      <w:r>
        <w:t>https://www.bearrobotics.ai/s/Servi-Plus_User-Manual_EN.pdf</w:t>
      </w:r>
    </w:p>
    <w:p>
      <w:r>
        <w:t>Version 1.1.1; copyright 2023; accessed 2026-10-22. Manufacturer operating manual. Read safety and use sections, printed pp. 6, 10, 16 and 19. Model-specific limits do not transfer automatically to PUDU products; supports a bounded example of continuing human responsibilities.</w:t>
      </w:r>
    </w:p>
    <w:p>
      <w:pPr>
        <w:keepNext/>
      </w:pPr>
      <w:r>
        <w:t>E5: Nav2 documentation explains how robot footprint and local navigation configuration affect passage through space.</w:t>
      </w:r>
    </w:p>
    <w:p>
      <w:pPr>
        <w:keepNext/>
      </w:pPr>
      <w:r>
        <w:t>https://docs.nav2.org/rolling/configuration_and_development/tuning_guide/</w:t>
      </w:r>
    </w:p>
    <w:p>
      <w:r>
        <w:t>Live maintainer documentation; accessed 2026-10-22. Original software-maintainer documentation. General technical illustration, not proof that either named robot uses Nav2 or is safe in a specific venue.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14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Indoor Autonomous Delivery Robots</dc:title>
  <dc:subject/>
  <dc:creator>Li Yu-Erh (Ariana Li)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