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AI Agent Output Report</w:t>
      </w:r>
    </w:p>
    <w:p>
      <w:r>
        <w:t>Primary test | Version 1.2-final | October 22, 2026</w:t>
      </w:r>
    </w:p>
    <w:p>
      <w:r>
        <w:t>Qualified Potential Promethean at the technology level; an incremental workflow improvement for this bank application. Recommendation: a bounded, human-reviewed pilot. The following content renders primary_response.json.</w:t>
      </w:r>
    </w:p>
    <w:p>
      <w:pPr>
        <w:pStyle w:val="Heading1"/>
      </w:pPr>
      <w:r>
        <w:t>Analytical Question</w:t>
      </w:r>
    </w:p>
    <w:p>
      <w:r>
        <w:t>Is deployed generative AI incremental, breakthrough, or Potential Promethean, and should that broader significance justify the hypothetical bank's research-summary pilot?</w:t>
      </w:r>
    </w:p>
    <w:p>
      <w:pPr>
        <w:pStyle w:val="Heading1"/>
      </w:pPr>
      <w:r>
        <w:t>General Technology Finding</w:t>
      </w:r>
    </w:p>
    <w:p>
      <w:r>
        <w:t>Prospective classification: Potential Promethean, qualified; breakthrough capability is demonstrated, while civilizational permanence is unconfirmed. Unit: usable general-purpose language-generation systems, not an isolated component or all AI. Barrier statement: before these systems, flexible drafting and interactive explanations generally required a person to formulate each response; human composition was treated as part of cognitive work. Earlier text automation existed, so this concerns flexible generation rather than the invention of automation. E2-E4 support partial removal of human composition; verification and accountability remain human responsibilities. Suppression of the technology class would restore manual work, but the sources do not establish collapse of essential infrastructure. Economic production and cognitive/social learning are two possible tiers; multiple workplace occupations alone would not count as two tiers. E1 supports a prospective candidate, not a passed retrospective dissolution gate.</w:t>
      </w:r>
    </w:p>
    <w:p>
      <w:r>
        <w:t>Six diagnostic ratings: order-of-magnitude NOT DEMONSTRATED, because E2-E3 do not establish a defined 10x baseline;</w:t>
      </w:r>
    </w:p>
    <w:p>
      <w:r>
        <w:t>widespread impact PARTIAL, because E2-E4 cover work and learning but not civilization-wide dissolution;</w:t>
      </w:r>
    </w:p>
    <w:p>
      <w:r>
        <w:t>paradigm shift PARTIAL, an inference from E2-E4 that generation can be separated from human composition;</w:t>
      </w:r>
    </w:p>
    <w:p>
      <w:r>
        <w:t>catalytic effect PARTIAL, because E4 documents a secondary tutoring application but not a dependent economy-wide wave;</w:t>
      </w:r>
    </w:p>
    <w:p>
      <w:r>
        <w:t>democratizing effect NOT ESTABLISHED, because direct evidence of expanded access across groups is missing;</w:t>
      </w:r>
    </w:p>
    <w:p>
      <w:r>
        <w:t>irreversibility UNRESOLVED, because durable cross-tier dependence and suppression evidence are missing. These ratings are qualitative diagnostics, not an additive score. Confirmed Promethean is withheld.</w:t>
      </w:r>
    </w:p>
    <w:p>
      <w:pPr>
        <w:pStyle w:val="Heading1"/>
      </w:pPr>
      <w:r>
        <w:t>Application Finding</w:t>
      </w:r>
    </w:p>
    <w:p>
      <w:r>
        <w:t>Internal summaries represent incremental improvement to an existing workflow. Analysts still select sources, check figures and own conclusions. This application does not inherit the technology's possible civilization-scale significance. Net time savings remain a local hypothesis.</w:t>
      </w:r>
    </w:p>
    <w:p>
      <w:pPr>
        <w:pStyle w:val="Heading1"/>
      </w:pPr>
      <w:r>
        <w:t>Organization Specific Finding</w:t>
      </w:r>
    </w:p>
    <w:p>
      <w:r>
        <w:t>The moderate/fast-follower bank's approved workspace and trained reviewers are scenario assumptions. If confirmed, they support learning through a bounded public-document pilot. Consequential research errors justify analyst sign-off and manual fallback.</w:t>
      </w:r>
    </w:p>
    <w:p>
      <w:pPr>
        <w:pStyle w:val="Heading1"/>
      </w:pPr>
      <w:r>
        <w:t>Confidence and Uncertainty</w:t>
      </w:r>
    </w:p>
    <w:p>
      <w:r>
        <w:t>Moderate confidence in a prospective candidate under E1; low confidence in eventual confirmation. The bank's controls are assumed and local accuracy and net benefit are unknown. The course's emerging-AI example is treated as a hypothesis while its strict retrospective suppression standard remains unmet.</w:t>
      </w:r>
    </w:p>
    <w:p>
      <w:pPr>
        <w:pStyle w:val="Heading1"/>
      </w:pPr>
      <w:r>
        <w:t>Value Opportunity</w:t>
      </w:r>
    </w:p>
    <w:p>
      <w:r>
        <w:t>Potentially reduce drafting effort after review costs, while preserving source traceability. Broad significance raises monitoring priority rather than authorizing an untested large commitment.</w:t>
      </w:r>
    </w:p>
    <w:p>
      <w:pPr>
        <w:pStyle w:val="Heading1"/>
      </w:pPr>
      <w:r>
        <w:t>Risk and Governance</w:t>
      </w:r>
    </w:p>
    <w:p>
      <w:r>
        <w:t>Use public inputs, restrict workspace access, link consequential claims to sources and require named analyst approval. Exclude client delivery and trading. These are proposed controls, not verified capabilities or legal certification.</w:t>
      </w:r>
    </w:p>
    <w:p>
      <w:pPr>
        <w:pStyle w:val="Heading1"/>
      </w:pPr>
      <w:r>
        <w:t>Management Recommendation</w:t>
      </w:r>
    </w:p>
    <w:p>
      <w:r>
        <w:t>Authorize an eight-week pilot only after confirming the assumed controls. Proposed evaluation: compare assisted and manual summaries across 30 matched public-document tasks with balanced reviewer assignment and separate factual checking. Measure total staff minutes including review, consequential unsupported claims per summary, and corrections before approval. Proposed scale gate: positive net time savings, no worse reviewed factual quality than the manual baseline, and zero unresolved consequential errors in circulated summaries. A data incident or uncorrected consequential error pauses circulation. The sample and gates are management proposals, not validated statistical or regulatory thresholds.</w:t>
      </w:r>
    </w:p>
    <w:p>
      <w:pPr>
        <w:pStyle w:val="Heading1"/>
      </w:pPr>
      <w:r>
        <w:t>Contrary Evidence and Limitations</w:t>
      </w:r>
    </w:p>
    <w:p>
      <w:pPr>
        <w:pStyle w:val="ListBullet"/>
      </w:pPr>
      <w:r>
        <w:t>Task-dependent errors and continued review challenge complete barrier dissolution.</w:t>
      </w:r>
    </w:p>
    <w:p>
      <w:pPr>
        <w:pStyle w:val="ListBullet"/>
      </w:pPr>
      <w:r>
        <w:t>General 10x improvement, equitable access and permanent multi-tier dependence are not demonstrated.</w:t>
      </w:r>
    </w:p>
    <w:p>
      <w:pPr>
        <w:pStyle w:val="ListBullet"/>
      </w:pPr>
      <w:r>
        <w:t>No actual bank deployment or ROI measurement was performed.</w:t>
      </w:r>
    </w:p>
    <w:p>
      <w:pPr>
        <w:pStyle w:val="Heading1"/>
      </w:pPr>
      <w:r>
        <w:t>Monitoring Triggers</w:t>
      </w:r>
    </w:p>
    <w:p>
      <w:pPr>
        <w:pStyle w:val="ListBullet"/>
      </w:pPr>
      <w:r>
        <w:t>Reassess on independent defined 10x evidence, durable cross-tier dependence, or evidence that benefits remain narrow and reversible.</w:t>
      </w:r>
    </w:p>
    <w:p>
      <w:pPr>
        <w:pStyle w:val="ListBullet"/>
      </w:pPr>
      <w:r>
        <w:t>Reassess pilot scope when measured time, factual quality, reviewer burden or controls change.</w:t>
      </w:r>
    </w:p>
    <w:p>
      <w:pPr>
        <w:pStyle w:val="ListBullet"/>
      </w:pPr>
      <w:r>
        <w:t>Review broader significance annually over three years.</w:t>
      </w:r>
    </w:p>
    <w:p>
      <w:pPr>
        <w:pStyle w:val="Heading1"/>
      </w:pPr>
      <w:r>
        <w:t>Abstention and Missing Information</w:t>
      </w:r>
    </w:p>
    <w:p>
      <w:pPr>
        <w:pStyle w:val="ListBullet"/>
      </w:pPr>
      <w:r>
        <w:t>Withhold Confirmed Promethean without durable suppression-test evidence.</w:t>
      </w:r>
    </w:p>
    <w:p>
      <w:pPr>
        <w:pStyle w:val="ListBullet"/>
      </w:pPr>
      <w:r>
        <w:t>Do not certify safe autonomous advice, compliance or realized ROI.</w:t>
      </w:r>
    </w:p>
    <w:p>
      <w:pPr>
        <w:pStyle w:val="ListBullet"/>
      </w:pPr>
      <w:r>
        <w:t>Confirm actual reviewer capacity and workspace controls before starting; obtain local outcomes before scaling.</w:t>
      </w:r>
    </w:p>
    <w:p>
      <w:pPr>
        <w:pStyle w:val="Heading1"/>
        <w:pageBreakBefore/>
      </w:pPr>
      <w:r>
        <w:t>Evidence and Sources</w:t>
      </w:r>
    </w:p>
    <w:p>
      <w:r>
        <w:t>E1 supplies the course instrument and prospective AI example.</w:t>
      </w:r>
    </w:p>
    <w:p>
      <w:r>
        <w:t>Fortino, Chapter 11, August 2026 draft Rev 0.1, sections 11.2 and 11.7, pp. 3-4 and 8-11; supplied PDF.</w:t>
      </w:r>
    </w:p>
    <w:p>
      <w:r>
        <w:t>August 2026; read 2026-10-22. Conceptual lens, not independent proof of dissolution.</w:t>
      </w:r>
    </w:p>
    <w:p>
      <w:r>
        <w:t>E2 reports experimental writing-assistance benefits.</w:t>
      </w:r>
    </w:p>
    <w:p>
      <w:r>
        <w:t>https://www.science.org/doi/10.1126/science.adh2586</w:t>
      </w:r>
    </w:p>
    <w:p>
      <w:r>
        <w:t>Noy and Zhang, 2023; abstract retrieved 2026-10-22. Full-page opening blocked. No bank-specific or 10x result inferred.</w:t>
      </w:r>
    </w:p>
    <w:p>
      <w:r>
        <w:t>E3 reports task-dependent gains and an outside-frontier correctness penalty.</w:t>
      </w:r>
    </w:p>
    <w:p>
      <w:r>
        <w:t>https://mitsloan.mit.edu/sites/default/files/2023-10/SSRN-id4573321.pdf</w:t>
      </w:r>
    </w:p>
    <w:p>
      <w:r>
        <w:t>Dell'Acqua et al., 2023; read 2026-10-22. Historical model experiment, not every current model's benchmark.</w:t>
      </w:r>
    </w:p>
    <w:p>
      <w:r>
        <w:t>E4 reports a learning benefit from a custom tutor in its tested setting.</w:t>
      </w:r>
    </w:p>
    <w:p>
      <w:r>
        <w:t>https://serl.fas.harvard.edu/publication/ai-tutoring-outperforms-class-active-learning-rct-introducing-novel-research-based</w:t>
      </w:r>
    </w:p>
    <w:p>
      <w:r>
        <w:t>Kestin et al., 2025; author-lab abstract read 2026-10-22. Publisher access failed; population-wide access and dependence were not established.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Yu-Erh (Ariana Li)</dc:creator>
  <cp:keywords/>
  <dc:description>generated by python-docx</dc:description>
  <cp:lastModifiedBy/>
  <cp:revision>1</cp:revision>
  <dcterms:created xsi:type="dcterms:W3CDTF">2013-12-23T23:15:00Z</dcterms:created>
  <dcterms:modified xsi:type="dcterms:W3CDTF">2013-12-23T23:15:00Z</dcterms:modified>
  <cp:category/>
</cp:coreProperties>
</file>