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of examples Module 3.5</w:t>
      </w:r>
    </w:p>
    <w:p>
      <w:pPr>
        <w:pStyle w:val="Normal"/>
        <w:rPr/>
      </w:pPr>
      <w:r>
        <w:rPr/>
        <w:t>Most scents remain constant in their quality over orders of magnitude of concentration (12). Nevertheless, at high concentrations, quality tends to be negatively correlated with intensity, as was the case, for example, for the cinnamon oil used in this study. Hence, reliability of absolute scorings was achieved by calibrating the amount of perfume ingredients with initial ratings for intensity against a reference substance of known concentration. The final concentrations were in principal</w:t>
      </w:r>
      <w:r>
        <w:rPr>
          <w:b/>
          <w:bCs/>
        </w:rPr>
        <w:t xml:space="preserve"> </w:t>
      </w:r>
      <w:r>
        <w:rPr/>
        <w:t>chosen in a way such that individual ratings showed variance among participants within the sliding scale between 0 and 10 (meaning that people could decide whether they liked a scent or not). This procedure seemed successful for most scents; however, the concentrations for bergamot (highest average ratings) and vetiver (lowest average rating) could probably been reduced even more, as both scents did not show any discriminating power at the level of common alleles (people agreed largely on the quality of these two scents) (see Table 2). Interestingly, the pooled rare alleles showed discriminating power for…</w:t>
      </w:r>
    </w:p>
    <w:p>
      <w:pPr>
        <w:pStyle w:val="Normal"/>
        <w:rPr>
          <w:b/>
          <w:b/>
          <w:bCs/>
          <w:color w:val="00A933"/>
          <w:sz w:val="30"/>
          <w:szCs w:val="30"/>
        </w:rPr>
      </w:pPr>
      <w:r>
        <w:rPr>
          <w:b/>
          <w:bCs/>
          <w:color w:val="00A933"/>
          <w:sz w:val="30"/>
          <w:szCs w:val="30"/>
        </w:rPr>
        <w:t>Perfume intensity and quality are negatively correlated at high concentration: if the is too strong, people will rate unfavorably. Hence, we chose the final concentration of each perfume ingredient so that it had similar intensity to a reference scent (1-butanol). The resulting concentrations appeared appropriate for most scent, as participants’ preferences varied along the sliding scale between 0 and 10. However, participants largely agreed on bergamot (highest average ratings) and vetiver (lowest average rating), so lower or higher concentrations may have been needed for these scents.</w:t>
      </w:r>
    </w:p>
    <w:p>
      <w:pPr>
        <w:pStyle w:val="Normal"/>
        <w:rPr/>
      </w:pPr>
      <w:r>
        <w:rPr/>
      </w:r>
    </w:p>
    <w:p>
      <w:pPr>
        <w:pStyle w:val="Normal"/>
        <w:rPr/>
      </w:pPr>
      <w:r>
        <w:rPr/>
        <w:t xml:space="preserve">Although the methodological approaches are similar, the questions posed in classic epidemiology and clinical epidemiology are different. In classic epidemiology, epidemiologists pose a question about the etiology of a disease in a population of people.  Causal associations are important to identify because, if the causal factor identified can be manipulated or modified, prevention of disease is possible.  On the other hand, in clinical epidemiology, clinicians pose a question about the prognosis of a disease in a population of patients.  Prognosis can be regarded as a set of outcomes and their associated probabilities following the occurrence of some defining event or diagnosis that can be a symptom, sign, test result or disease. </w:t>
      </w:r>
    </w:p>
    <w:p>
      <w:pPr>
        <w:pStyle w:val="Normal"/>
        <w:spacing w:before="0" w:after="160"/>
        <w:rPr>
          <w:b/>
          <w:b/>
          <w:bCs/>
          <w:color w:val="00A933"/>
          <w:sz w:val="30"/>
          <w:szCs w:val="30"/>
        </w:rPr>
      </w:pPr>
      <w:bookmarkStart w:id="0" w:name="_GoBack"/>
      <w:bookmarkEnd w:id="0"/>
      <w:r>
        <w:rPr>
          <w:b/>
          <w:bCs/>
          <w:color w:val="00A933"/>
          <w:sz w:val="30"/>
          <w:szCs w:val="30"/>
        </w:rPr>
        <w:t>Despite methodological similarities, classic epidemiology and clinical epidemiology differ in aim. Classic epidemiologists pose a question about the etiology of disease in a population of people; etiologic factors can be manipulated or prevent disease. Clinical epidemiologists pose a question about the prognosis of a disease in a population of patients; prognosis is the probability that an event or diagnosis will result in a particular outcome.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LibreOffice/7.3.6.2$Linux_X86_64 LibreOffice_project/30$Build-2</Application>
  <AppVersion>15.0000</AppVersion>
  <Pages>2</Pages>
  <Words>434</Words>
  <Characters>2482</Characters>
  <CharactersWithSpaces>2915</CharactersWithSpaces>
  <Paragraphs>5</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2017-08-03T16:19:00Z</dcterms:created>
  <dc:creator>Sainani, Kristin Lynn</dc:creator>
  <dc:description/>
  <dc:language>en-US</dc:language>
  <cp:lastModifiedBy/>
  <dcterms:modified xsi:type="dcterms:W3CDTF">2022-11-20T14:59:48Z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