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rPr>
      </w:pPr>
      <w:r>
        <w:rPr>
          <w:b/>
        </w:rPr>
        <w:t>Text for practice exercises Module 3.2</w:t>
      </w:r>
    </w:p>
    <w:p>
      <w:pPr>
        <w:pStyle w:val="Normal"/>
        <w:rPr/>
      </w:pPr>
      <w:r>
        <w:rPr/>
        <w:t xml:space="preserve">Evidence-based medicine teaches clinicians the practical application of clinical epidemiology, as needed to address specific problems of specific patients. It guides clinicians </w:t>
      </w:r>
      <w:r>
        <w:rPr>
          <w:b w:val="false"/>
          <w:bCs w:val="false"/>
          <w:sz w:val="22"/>
          <w:szCs w:val="22"/>
        </w:rPr>
        <w:t>on</w:t>
      </w:r>
      <w:r>
        <w:rPr>
          <w:b w:val="false"/>
          <w:bCs w:val="false"/>
          <w:color w:val="2A6099"/>
          <w:sz w:val="30"/>
          <w:szCs w:val="30"/>
          <w:shd w:fill="FFFFFF" w:val="clear"/>
        </w:rPr>
        <w:t xml:space="preserve"> </w:t>
      </w:r>
      <w:r>
        <w:rPr>
          <w:b w:val="false"/>
          <w:bCs w:val="false"/>
          <w:sz w:val="22"/>
          <w:szCs w:val="22"/>
        </w:rPr>
        <w:t>how</w:t>
      </w:r>
      <w:r>
        <w:rPr/>
        <w:t xml:space="preserve"> to find the best evidence relevant to a specific problem, how to assess the quality of that evidence, and perhaps most difficult, how to decide if the evidence applies to a specific patient. </w:t>
      </w:r>
    </w:p>
    <w:p>
      <w:pPr>
        <w:pStyle w:val="Normal"/>
        <w:rPr>
          <w:b/>
          <w:b/>
          <w:bCs/>
          <w:color w:val="00A933"/>
          <w:sz w:val="30"/>
          <w:szCs w:val="30"/>
        </w:rPr>
      </w:pPr>
      <w:r>
        <w:rPr>
          <w:b/>
          <w:bCs/>
          <w:color w:val="00A933"/>
          <w:sz w:val="30"/>
          <w:szCs w:val="30"/>
        </w:rPr>
        <w:t>Evidence-based medicine teaches clinicians the practical application of clinical epidemiology: how to find the best evidence relevant to a specific problem, how to assess the quality of that evidence, and how to decide is the evidence applies to a specific patients.</w:t>
      </w:r>
    </w:p>
    <w:p>
      <w:pPr>
        <w:pStyle w:val="Normal"/>
        <w:rPr/>
      </w:pPr>
      <w:r>
        <w:rPr/>
        <w:tab/>
        <w:t xml:space="preserve">Finally, the lessons of clinical epidemiology are not </w:t>
      </w:r>
      <w:r>
        <w:rPr>
          <w:color w:val="000000"/>
        </w:rPr>
        <w:t>meant</w:t>
      </w:r>
      <w:r>
        <w:rPr/>
        <w:t xml:space="preserve"> to be limited to academic physician-epidemiologists, who sometimes have more interest in analyzing data than caring for patients.  Clinical epidemiology holds the promise of providing clinicians with the tools necessary to improve the outcomes of their patients. </w:t>
      </w:r>
    </w:p>
    <w:p>
      <w:pPr>
        <w:pStyle w:val="Normal"/>
        <w:rPr>
          <w:color w:val="2A6099"/>
          <w:sz w:val="26"/>
          <w:szCs w:val="26"/>
        </w:rPr>
      </w:pPr>
      <w:bookmarkStart w:id="0" w:name="_GoBack"/>
      <w:bookmarkEnd w:id="0"/>
      <w:r>
        <w:rPr>
          <w:color w:val="2A6099"/>
          <w:sz w:val="26"/>
          <w:szCs w:val="26"/>
        </w:rPr>
        <w:t xml:space="preserve">The lessons of clinical epidemiology should not be limited to academic physician-epidemiologists </w:t>
      </w:r>
      <w:r>
        <w:rPr>
          <w:rFonts w:eastAsia="utkal" w:cs="utkal" w:ascii="utkal" w:hAnsi="utkal"/>
          <w:color w:val="2A6099"/>
          <w:sz w:val="26"/>
          <w:szCs w:val="26"/>
        </w:rPr>
        <w:t>—</w:t>
      </w:r>
      <w:r>
        <w:rPr>
          <w:rFonts w:eastAsia="Calibri" w:cs=""/>
          <w:color w:val="2A6099"/>
          <w:sz w:val="26"/>
          <w:szCs w:val="26"/>
        </w:rPr>
        <w:t xml:space="preserve"> who sometimes have more interest in analyzing data than caring for patients </w:t>
      </w:r>
      <w:r>
        <w:rPr>
          <w:rFonts w:eastAsia="utkal" w:cs="utkal" w:ascii="utkal" w:hAnsi="utkal"/>
          <w:color w:val="2A6099"/>
          <w:sz w:val="26"/>
          <w:szCs w:val="26"/>
        </w:rPr>
        <w:t>—</w:t>
      </w:r>
      <w:r>
        <w:rPr>
          <w:rFonts w:eastAsia="Calibri" w:cs=""/>
          <w:color w:val="2A6099"/>
          <w:sz w:val="26"/>
          <w:szCs w:val="26"/>
        </w:rPr>
        <w:t xml:space="preserve"> </w:t>
      </w:r>
      <w:r>
        <w:rPr>
          <w:rFonts w:eastAsia="Calibri" w:cs=""/>
          <w:color w:val="2A6099"/>
          <w:sz w:val="26"/>
          <w:szCs w:val="26"/>
        </w:rPr>
        <w:t>c</w:t>
      </w:r>
      <w:r>
        <w:rPr>
          <w:rFonts w:eastAsia="Calibri" w:cs=""/>
          <w:color w:val="2A6099"/>
          <w:sz w:val="26"/>
          <w:szCs w:val="26"/>
        </w:rPr>
        <w:t>linical epidemiology holds the promise to provide clinicians with the tools necessary to improve the outcomes of their patients.</w:t>
      </w:r>
    </w:p>
    <w:p>
      <w:pPr>
        <w:pStyle w:val="Normal"/>
        <w:spacing w:before="0" w:after="160"/>
        <w:rPr>
          <w:b/>
          <w:b/>
          <w:bCs/>
          <w:color w:val="00A933"/>
          <w:sz w:val="30"/>
          <w:szCs w:val="30"/>
        </w:rPr>
      </w:pPr>
      <w:r>
        <w:rPr>
          <w:rFonts w:eastAsia="Calibri" w:cs=""/>
          <w:b/>
          <w:bCs/>
          <w:color w:val="00A933"/>
          <w:sz w:val="30"/>
          <w:szCs w:val="30"/>
        </w:rPr>
        <w:t xml:space="preserve">Finally, clinical epidemiology </w:t>
      </w:r>
      <w:r>
        <w:rPr>
          <w:rFonts w:eastAsia="Calibri" w:cs=""/>
          <w:b/>
          <w:bCs/>
          <w:color w:val="00A933"/>
          <w:sz w:val="30"/>
          <w:szCs w:val="30"/>
        </w:rPr>
        <w:t>is</w:t>
      </w:r>
      <w:r>
        <w:rPr>
          <w:rFonts w:eastAsia="Calibri" w:cs=""/>
          <w:b/>
          <w:bCs/>
          <w:color w:val="00A933"/>
          <w:sz w:val="30"/>
          <w:szCs w:val="30"/>
        </w:rPr>
        <w:t xml:space="preserve"> not limited to academic physician-epidemiologists </w:t>
      </w:r>
      <w:r>
        <w:rPr>
          <w:rFonts w:eastAsia="utkal" w:cs="utkal" w:ascii="utkal" w:hAnsi="utkal"/>
          <w:b/>
          <w:bCs/>
          <w:color w:val="00A933"/>
          <w:sz w:val="30"/>
          <w:szCs w:val="30"/>
        </w:rPr>
        <w:t>—</w:t>
      </w:r>
      <w:r>
        <w:rPr>
          <w:rFonts w:eastAsia="Calibri" w:cs=""/>
          <w:b/>
          <w:bCs/>
          <w:color w:val="00A933"/>
          <w:sz w:val="30"/>
          <w:szCs w:val="30"/>
        </w:rPr>
        <w:t xml:space="preserve"> who </w:t>
      </w:r>
      <w:r>
        <w:rPr>
          <w:rFonts w:eastAsia="Calibri" w:cs=""/>
          <w:b/>
          <w:bCs/>
          <w:color w:val="00A933"/>
          <w:sz w:val="30"/>
          <w:szCs w:val="30"/>
        </w:rPr>
        <w:t>are</w:t>
      </w:r>
      <w:r>
        <w:rPr>
          <w:rFonts w:eastAsia="Calibri" w:cs=""/>
          <w:b/>
          <w:bCs/>
          <w:color w:val="00A933"/>
          <w:sz w:val="30"/>
          <w:szCs w:val="30"/>
        </w:rPr>
        <w:t xml:space="preserve"> sometimes more interest</w:t>
      </w:r>
      <w:r>
        <w:rPr>
          <w:rFonts w:eastAsia="Calibri" w:cs=""/>
          <w:b/>
          <w:bCs/>
          <w:color w:val="00A933"/>
          <w:sz w:val="30"/>
          <w:szCs w:val="30"/>
        </w:rPr>
        <w:t>ed</w:t>
      </w:r>
      <w:r>
        <w:rPr>
          <w:rFonts w:eastAsia="Calibri" w:cs=""/>
          <w:b/>
          <w:bCs/>
          <w:color w:val="00A933"/>
          <w:sz w:val="30"/>
          <w:szCs w:val="30"/>
        </w:rPr>
        <w:t xml:space="preserve"> in analyzing data than caring for patients </w:t>
      </w:r>
      <w:r>
        <w:rPr>
          <w:rFonts w:eastAsia="utkal" w:cs="utkal" w:ascii="utkal" w:hAnsi="utkal"/>
          <w:b/>
          <w:bCs/>
          <w:color w:val="00A933"/>
          <w:sz w:val="30"/>
          <w:szCs w:val="30"/>
        </w:rPr>
        <w:t>—</w:t>
      </w:r>
      <w:r>
        <w:rPr>
          <w:rFonts w:eastAsia="Calibri" w:cs=""/>
          <w:b/>
          <w:bCs/>
          <w:color w:val="00A933"/>
          <w:sz w:val="30"/>
          <w:szCs w:val="30"/>
        </w:rPr>
        <w:t xml:space="preserve"> </w:t>
      </w:r>
      <w:r>
        <w:rPr>
          <w:rFonts w:eastAsia="Calibri" w:cs=""/>
          <w:b/>
          <w:bCs/>
          <w:color w:val="00A933"/>
          <w:sz w:val="30"/>
          <w:szCs w:val="30"/>
        </w:rPr>
        <w:t>but</w:t>
      </w:r>
      <w:r>
        <w:rPr>
          <w:rFonts w:eastAsia="Calibri" w:cs=""/>
          <w:b/>
          <w:bCs/>
          <w:color w:val="00A933"/>
          <w:sz w:val="30"/>
          <w:szCs w:val="30"/>
        </w:rPr>
        <w:t xml:space="preserve"> </w:t>
      </w:r>
      <w:r>
        <w:rPr>
          <w:rFonts w:eastAsia="Calibri" w:cs=""/>
          <w:b/>
          <w:bCs/>
          <w:color w:val="00A933"/>
          <w:sz w:val="30"/>
          <w:szCs w:val="30"/>
        </w:rPr>
        <w:t>provides</w:t>
      </w:r>
      <w:r>
        <w:rPr>
          <w:rFonts w:eastAsia="Calibri" w:cs=""/>
          <w:b/>
          <w:bCs/>
          <w:color w:val="00A933"/>
          <w:sz w:val="30"/>
          <w:szCs w:val="30"/>
        </w:rPr>
        <w:t xml:space="preserve"> clinicians with the tools necessary to improve the their patients’ </w:t>
      </w:r>
      <w:r>
        <w:rPr>
          <w:rFonts w:eastAsia="Calibri" w:cs=""/>
          <w:b/>
          <w:bCs/>
          <w:color w:val="00A933"/>
          <w:sz w:val="30"/>
          <w:szCs w:val="30"/>
        </w:rPr>
        <w:t>outcomes</w:t>
      </w:r>
      <w:r>
        <w:rPr>
          <w:rFonts w:eastAsia="Calibri" w:cs=""/>
          <w:b/>
          <w:bCs/>
          <w:color w:val="00A933"/>
          <w:sz w:val="30"/>
          <w:szCs w:val="30"/>
        </w:rPr>
        <w:t xml:space="preserve">. </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utkal">
    <w:charset w:val="01"/>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1129</TotalTime>
  <Application>LibreOffice/7.3.6.2$Linux_X86_64 LibreOffice_project/30$Build-2</Application>
  <AppVersion>15.0000</AppVersion>
  <Pages>1</Pages>
  <Words>227</Words>
  <Characters>1334</Characters>
  <CharactersWithSpaces>1564</CharactersWithSpaces>
  <Paragraphs>6</Paragraphs>
  <Company>Stanford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2017-08-02T21:28:00Z</dcterms:created>
  <dc:creator>Sainani, Kristin Lynn</dc:creator>
  <dc:description/>
  <dc:language>en-US</dc:language>
  <cp:lastModifiedBy/>
  <dcterms:modified xsi:type="dcterms:W3CDTF">2022-11-20T13:19:20Z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