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27</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December 2023</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The document alongside this document “</w:t>
      </w:r>
      <w:r w:rsidDel="00000000" w:rsidR="00000000" w:rsidRPr="00000000">
        <w:rPr>
          <w:rtl w:val="0"/>
        </w:rPr>
        <w:t xml:space="preserve">NIST SP 800-30 Rev. 1”</w:t>
      </w:r>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A centralized computer system, the database server, is utilized for the storage and management of large volumes of data, including customer, campaign, and analytic data that can be analyzed to monitor performance and customize marketing efforts. Due to its frequent usage in marketing operations, it is crucial to ensure the security of this system.</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Steal confidential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i w:val="1"/>
              </w:rPr>
            </w:pPr>
            <w:r w:rsidDel="00000000" w:rsidR="00000000" w:rsidRPr="00000000">
              <w:rPr>
                <w:i w:val="1"/>
                <w:rtl w:val="0"/>
              </w:rPr>
              <w:t xml:space="preserve">Cause disruption to essential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Modify or delete crucial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The risks that were assessed took into account the data storage and management protocols of the organization. Potential threats and events were identified based on the probability of a security breach given the open access permissions of the information system. The severity of probable incidents was evaluated against the effect on the organization's daily operational requirements.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To ensure that only authorized users access the database server, it is crucial to implement authentication, authorization, and auditing mechanisms. This involves enforcing strong passwords, role-based access controls, and multi-factor authentication to limit user privileges. Additionally, data in motion should be encrypted using TLS instead of SSL. To prevent random internet users from connecting to the database, IP allow-listing should be employed, restricting access to corporate offices only.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