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 </w:t>
            </w:r>
            <w:r w:rsidDel="00000000" w:rsidR="00000000" w:rsidRPr="00000000">
              <w:rPr>
                <w:rFonts w:ascii="Google Sans" w:cs="Google Sans" w:eastAsia="Google Sans" w:hAnsi="Google Sans"/>
                <w:color w:val="ff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0000"/>
                <w:sz w:val="24"/>
                <w:szCs w:val="24"/>
                <w:rtl w:val="0"/>
              </w:rPr>
              <w:t xml:space="preserve">NOT </w:t>
            </w:r>
            <w:r w:rsidDel="00000000" w:rsidR="00000000" w:rsidRPr="00000000">
              <w:rPr>
                <w:rFonts w:ascii="Google Sans" w:cs="Google Sans" w:eastAsia="Google Sans" w:hAnsi="Google Sans"/>
                <w:color w:val="ff0000"/>
                <w:sz w:val="24"/>
                <w:szCs w:val="24"/>
                <w:rtl w:val="0"/>
              </w:rPr>
              <w:t xml:space="preserve">Regular)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 would recommend them to have encryption, which solves many issues they currently have like encryption and GDPR compliance. Having a backup resulting to a disaster recovery plan is a must for large companies. These backups can be online encrypted on-cloud or can be offline on hard drives, which the online format is recommended. Establishing password policies and a password management system alongside encryption can give the company a lot of advantages against cyber-attackers. Finally, I strongly recommend the company to have separation of duty and least privilege for its employees, especially those working in IT section, who have access to a lot of PII and SPII.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